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0D1329" w14:textId="5CD2ADAB" w:rsidR="00006C13" w:rsidRPr="00F634BF" w:rsidRDefault="00006C13" w:rsidP="00FE1AE2">
      <w:pPr>
        <w:spacing w:before="120" w:after="120" w:line="240" w:lineRule="auto"/>
        <w:jc w:val="center"/>
        <w:rPr>
          <w:rFonts w:eastAsia="Times New Roman" w:cs="Times New Roman"/>
          <w:b/>
          <w:color w:val="FF0000"/>
          <w:sz w:val="40"/>
          <w:szCs w:val="24"/>
          <w:lang w:val="fr-FR"/>
        </w:rPr>
      </w:pPr>
      <w:r w:rsidRPr="00F634BF">
        <w:rPr>
          <w:rFonts w:eastAsia="Times New Roman" w:cs="Times New Roman"/>
          <w:b/>
          <w:color w:val="FF0000"/>
          <w:sz w:val="40"/>
          <w:szCs w:val="24"/>
          <w:lang w:val="fr-FR"/>
        </w:rPr>
        <w:t>Histo</w:t>
      </w:r>
      <w:r w:rsidR="00993041" w:rsidRPr="00F634BF">
        <w:rPr>
          <w:rFonts w:eastAsia="Times New Roman" w:cs="Times New Roman"/>
          <w:b/>
          <w:color w:val="FF0000"/>
          <w:sz w:val="40"/>
          <w:szCs w:val="24"/>
          <w:lang w:val="fr-FR"/>
        </w:rPr>
        <w:t>ire</w:t>
      </w:r>
    </w:p>
    <w:p w14:paraId="1CA4FBFD" w14:textId="394318FD" w:rsidR="00FE1AE2" w:rsidRPr="00993041" w:rsidRDefault="00993041" w:rsidP="00FE1AE2">
      <w:pPr>
        <w:spacing w:before="120" w:after="120" w:line="240" w:lineRule="auto"/>
        <w:jc w:val="center"/>
        <w:rPr>
          <w:rFonts w:eastAsia="Times New Roman" w:cs="Times New Roman"/>
          <w:b/>
          <w:i/>
          <w:sz w:val="28"/>
          <w:szCs w:val="24"/>
          <w:lang w:val="fr-FR"/>
        </w:rPr>
      </w:pPr>
      <w:r w:rsidRPr="00993041">
        <w:rPr>
          <w:rFonts w:eastAsia="Times New Roman" w:cs="Times New Roman"/>
          <w:b/>
          <w:i/>
          <w:sz w:val="28"/>
          <w:szCs w:val="24"/>
          <w:lang w:val="fr-FR"/>
        </w:rPr>
        <w:t>Deux siècles de guerre aux confins de l'Empire romain</w:t>
      </w:r>
    </w:p>
    <w:p w14:paraId="0063E890" w14:textId="1D6C9FA6" w:rsidR="004776CE" w:rsidRDefault="00993041" w:rsidP="00A27FE6">
      <w:pPr>
        <w:pStyle w:val="Heading1"/>
      </w:pPr>
      <w:r>
        <w:t>Contexte historique</w:t>
      </w:r>
    </w:p>
    <w:p w14:paraId="13DD9303" w14:textId="77777777" w:rsidR="00006C13" w:rsidRPr="00006C13" w:rsidRDefault="00006C13" w:rsidP="00006C13">
      <w:pPr>
        <w:rPr>
          <w:lang w:val="fr-FR"/>
        </w:rPr>
      </w:pPr>
    </w:p>
    <w:p w14:paraId="365DA47F" w14:textId="08E77673" w:rsidR="00006C13" w:rsidRPr="00993041" w:rsidRDefault="00D753B2" w:rsidP="00A27FE6">
      <w:pPr>
        <w:pStyle w:val="Heading2"/>
        <w:rPr>
          <w:lang w:val="fr-FR"/>
        </w:rPr>
      </w:pPr>
      <w:r w:rsidRPr="00993041">
        <w:rPr>
          <w:lang w:val="fr-FR"/>
        </w:rPr>
        <w:t xml:space="preserve">Rome </w:t>
      </w:r>
      <w:r w:rsidR="00993041" w:rsidRPr="00993041">
        <w:rPr>
          <w:lang w:val="fr-FR"/>
        </w:rPr>
        <w:t>en</w:t>
      </w:r>
      <w:r w:rsidRPr="00993041">
        <w:rPr>
          <w:lang w:val="fr-FR"/>
        </w:rPr>
        <w:t xml:space="preserve"> Germania, 1–138</w:t>
      </w:r>
      <w:r w:rsidR="00993041" w:rsidRPr="00993041">
        <w:rPr>
          <w:lang w:val="fr-FR"/>
        </w:rPr>
        <w:t xml:space="preserve"> après J.C.</w:t>
      </w:r>
    </w:p>
    <w:p w14:paraId="1D04FCB4" w14:textId="5BBF1B5F" w:rsidR="00D753B2" w:rsidRPr="00B34616" w:rsidRDefault="00B34616" w:rsidP="00006C13">
      <w:pPr>
        <w:rPr>
          <w:rFonts w:eastAsia="Calibri"/>
          <w:lang w:val="fr-FR"/>
        </w:rPr>
      </w:pPr>
      <w:r w:rsidRPr="00B34616">
        <w:rPr>
          <w:rFonts w:eastAsia="Calibri"/>
          <w:lang w:val="fr-FR"/>
        </w:rPr>
        <w:t>Le siècle et un tiers qui s'écoula entre les dernières années d'Auguste et la mort d'Hadrien fut le théâtre de la tentative la plus ambitieuse de Rome pour conquérir le monde germanique, de son échec catastrophique et, finalement, de l'acceptation du Rhin comme frontière inamovible. Aucun autre théâtre d'opérations n'a aussi profondément façonné les limites de la puissance impériale romaine</w:t>
      </w:r>
      <w:r w:rsidR="00D753B2" w:rsidRPr="00B34616">
        <w:rPr>
          <w:rFonts w:eastAsia="Calibri"/>
          <w:lang w:val="fr-FR"/>
        </w:rPr>
        <w:t>.</w:t>
      </w:r>
    </w:p>
    <w:p w14:paraId="0193ADFC" w14:textId="69443A87" w:rsidR="004776CE" w:rsidRPr="0069602D" w:rsidRDefault="0069602D" w:rsidP="00D753B2">
      <w:pPr>
        <w:pStyle w:val="Heading3"/>
        <w:rPr>
          <w:rFonts w:eastAsia="Calibri"/>
        </w:rPr>
      </w:pPr>
      <w:r w:rsidRPr="0069602D">
        <w:rPr>
          <w:rFonts w:eastAsia="Calibri"/>
        </w:rPr>
        <w:t>L'offensive augustéenne et le désastre de Teutobourg (1–9 apr. J.-C.)</w:t>
      </w:r>
      <w:r w:rsidR="00512393" w:rsidRPr="0069602D">
        <w:rPr>
          <w:rFonts w:eastAsia="Calibri"/>
        </w:rPr>
        <w:t xml:space="preserve"> </w:t>
      </w:r>
    </w:p>
    <w:p w14:paraId="39BB6AA8" w14:textId="2612D3C9" w:rsidR="00D753B2" w:rsidRPr="00523102" w:rsidRDefault="00523102" w:rsidP="00006C13">
      <w:pPr>
        <w:rPr>
          <w:rFonts w:eastAsia="Calibri"/>
          <w:lang w:val="fr-FR"/>
        </w:rPr>
      </w:pPr>
      <w:r w:rsidRPr="00523102">
        <w:rPr>
          <w:rFonts w:eastAsia="Calibri"/>
          <w:lang w:val="fr-FR"/>
        </w:rPr>
        <w:t>Lorsque Auguste accéda au pouvoir, les armées romaines avaient déjà franchi le Rhin pour pénétrer dans les territoires situés entre ce fleuve et l'Elbe. Au cours de la décennie précédente, son beau-fils Tibère et son neveu Drusus avaient mené des campagnes au cœur de la Germanie ; ainsi, en l'an 1 de notre ère, Rome administrait une province naissante à l'est du Rhin. Le gouverneur Publius Quinctilius Varus poursuivit cette politique d'intégration, levant des impôts et imposant le droit romain à des tribus à peine pacifiées. À l'automne de l'an 9, Arminius</w:t>
      </w:r>
      <w:r w:rsidR="006E6054">
        <w:rPr>
          <w:rFonts w:eastAsia="Calibri"/>
          <w:lang w:val="fr-FR"/>
        </w:rPr>
        <w:t>,</w:t>
      </w:r>
      <w:r w:rsidRPr="00523102">
        <w:rPr>
          <w:rFonts w:eastAsia="Calibri"/>
          <w:lang w:val="fr-FR"/>
        </w:rPr>
        <w:t xml:space="preserve"> un chef chérusque ayant servi dans les troupes auxiliaires romaines et possédant la citoyenneté romaine</w:t>
      </w:r>
      <w:r w:rsidR="006F4791">
        <w:rPr>
          <w:rFonts w:eastAsia="Calibri"/>
          <w:lang w:val="fr-FR"/>
        </w:rPr>
        <w:t xml:space="preserve">, </w:t>
      </w:r>
      <w:r w:rsidRPr="00523102">
        <w:rPr>
          <w:rFonts w:eastAsia="Calibri"/>
          <w:lang w:val="fr-FR"/>
        </w:rPr>
        <w:t>prit la tête d'une coalition de tribus germaniques pour tendre une embuscade dévastatrice dans la forêt de Teutobourg. Trois légions (les XVIIe, XVIIIe et XIXe), accompagnées de cohortes auxiliaires et de civils suivant l'armée, furent anéanties en trois jours de combats sur un terrain qui neutralisait tout avantage tactique romain. Près de vingt mille soldats périrent. Ce désastre mit un terme définitif au programme d'expansion vers l'est initié par Auguste ; on raconte que ce dernier aurait supplié Varus de lui rendre ses légions</w:t>
      </w:r>
      <w:r w:rsidR="00D753B2" w:rsidRPr="00523102">
        <w:rPr>
          <w:rFonts w:eastAsia="Calibri"/>
          <w:lang w:val="fr-FR"/>
        </w:rPr>
        <w:t>.</w:t>
      </w:r>
    </w:p>
    <w:p w14:paraId="64EE7D4F" w14:textId="311D689E" w:rsidR="00D753B2" w:rsidRPr="00F521CB" w:rsidRDefault="00F521CB" w:rsidP="00D753B2">
      <w:pPr>
        <w:pStyle w:val="Heading3"/>
      </w:pPr>
      <w:r w:rsidRPr="00F521CB">
        <w:t xml:space="preserve">Germanicus et les guerres de </w:t>
      </w:r>
      <w:r>
        <w:t xml:space="preserve">la </w:t>
      </w:r>
      <w:r w:rsidRPr="00F521CB">
        <w:t>vengeance (14–16 apr. J.-C.</w:t>
      </w:r>
      <w:r>
        <w:t>)</w:t>
      </w:r>
    </w:p>
    <w:p w14:paraId="715F3952" w14:textId="0CA959EE" w:rsidR="004776CE" w:rsidRPr="00657544" w:rsidRDefault="00657544" w:rsidP="00006C13">
      <w:pPr>
        <w:rPr>
          <w:rFonts w:eastAsia="Calibri"/>
          <w:lang w:val="fr-FR"/>
        </w:rPr>
      </w:pPr>
      <w:r w:rsidRPr="00657544">
        <w:rPr>
          <w:rFonts w:eastAsia="Calibri"/>
          <w:lang w:val="fr-FR"/>
        </w:rPr>
        <w:t>À la mort d'Auguste en 14 apr. J.-C., le nouvel empereur Tibère envoya son neveu Germanicus César stabiliser la frontière du Rhin, où des légions s'étaient mutinées dans le chaos consécutif à la succession. Germanicus canalisa l'énergie des troupes vers des opérations offensives au-delà du Rhin. Au cours de trois campagnes intenses en 14, 15 et 16 apr. J.-C.</w:t>
      </w:r>
      <w:r w:rsidR="006F4791">
        <w:rPr>
          <w:rFonts w:eastAsia="Calibri"/>
          <w:lang w:val="fr-FR"/>
        </w:rPr>
        <w:t xml:space="preserve">, </w:t>
      </w:r>
      <w:r w:rsidRPr="00657544">
        <w:rPr>
          <w:rFonts w:eastAsia="Calibri"/>
          <w:lang w:val="fr-FR"/>
        </w:rPr>
        <w:t>il s'enfonça profondément en Germanie, récupérant deux des trois aigles perdues à Teutoburg. Il finit par contraindre Arminius à un affrontement en champ libre</w:t>
      </w:r>
      <w:r w:rsidR="006F4791">
        <w:rPr>
          <w:rFonts w:eastAsia="Calibri"/>
          <w:lang w:val="fr-FR"/>
        </w:rPr>
        <w:t>,</w:t>
      </w:r>
      <w:r w:rsidRPr="00657544">
        <w:rPr>
          <w:rFonts w:eastAsia="Calibri"/>
          <w:lang w:val="fr-FR"/>
        </w:rPr>
        <w:t xml:space="preserve"> une situation que les tribus germaniques évitaient généralement</w:t>
      </w:r>
      <w:r w:rsidR="006F4791">
        <w:rPr>
          <w:rFonts w:eastAsia="Calibri"/>
          <w:lang w:val="fr-FR"/>
        </w:rPr>
        <w:t>,</w:t>
      </w:r>
      <w:r w:rsidR="00F64D6A">
        <w:rPr>
          <w:rFonts w:eastAsia="Calibri"/>
          <w:lang w:val="fr-FR"/>
        </w:rPr>
        <w:t xml:space="preserve"> </w:t>
      </w:r>
      <w:r w:rsidRPr="00657544">
        <w:rPr>
          <w:rFonts w:eastAsia="Calibri"/>
          <w:lang w:val="fr-FR"/>
        </w:rPr>
        <w:t>lors de la bataille d'Idistaviso, sur la Weser, lui infligeant une lourde défaite. Il se rendit sur les lieux où gisaient encore, cinq ans après la défaite, les dépouilles non ensevelies de l'armée de Varus, et procéda à leur inhumation. Les forces romaines poussèrent jusqu'à l'Elbe. Toutefois, Tibère rappela Germanicus en 16 apr. J.-C. avant qu'une issue décisive ne puisse être atteinte. L'empereur jugea</w:t>
      </w:r>
      <w:r w:rsidR="00F64D6A">
        <w:rPr>
          <w:rFonts w:eastAsia="Calibri"/>
          <w:lang w:val="fr-FR"/>
        </w:rPr>
        <w:t xml:space="preserve"> </w:t>
      </w:r>
      <w:r w:rsidRPr="00657544">
        <w:rPr>
          <w:rFonts w:eastAsia="Calibri"/>
          <w:lang w:val="fr-FR"/>
        </w:rPr>
        <w:t>que le coût logistique du maintien de troupes aussi loin à l'est était prohibitif et qu'Arminius ne pouvait menacer le territoire romain depuis l'autre rive du Rhin. Germanicus reçut les honneurs du triomphe et fut affecté en Orient. Arminius finit par être assassiné par les siens en 21 apr. J.-C., après avoir empêché la conquête romaine sans toutefois parvenir à unifier les tribus germaniques sous son autorité</w:t>
      </w:r>
      <w:r w:rsidR="00512393" w:rsidRPr="00657544">
        <w:rPr>
          <w:rFonts w:eastAsia="Calibri"/>
          <w:lang w:val="fr-FR"/>
        </w:rPr>
        <w:t>.</w:t>
      </w:r>
    </w:p>
    <w:p w14:paraId="34AF54AC" w14:textId="397905B6" w:rsidR="00D753B2" w:rsidRPr="0098093E" w:rsidRDefault="00656DB0" w:rsidP="00D753B2">
      <w:pPr>
        <w:pStyle w:val="Heading3"/>
        <w:rPr>
          <w:rFonts w:eastAsia="Calibri"/>
          <w:lang w:val="en-US"/>
        </w:rPr>
      </w:pPr>
      <w:r w:rsidRPr="00656DB0">
        <w:rPr>
          <w:rFonts w:eastAsia="Calibri"/>
        </w:rPr>
        <w:lastRenderedPageBreak/>
        <w:t xml:space="preserve">Consolidation et </w:t>
      </w:r>
      <w:r>
        <w:rPr>
          <w:rFonts w:eastAsia="Calibri"/>
        </w:rPr>
        <w:t>le « </w:t>
      </w:r>
      <w:r w:rsidRPr="00656DB0">
        <w:rPr>
          <w:rFonts w:eastAsia="Calibri"/>
        </w:rPr>
        <w:t>Limes</w:t>
      </w:r>
      <w:r>
        <w:rPr>
          <w:rFonts w:eastAsia="Calibri"/>
        </w:rPr>
        <w:t> »</w:t>
      </w:r>
      <w:r w:rsidRPr="00656DB0">
        <w:rPr>
          <w:rFonts w:eastAsia="Calibri"/>
        </w:rPr>
        <w:t xml:space="preserve"> (17–138 apr. J.-C.)</w:t>
      </w:r>
    </w:p>
    <w:p w14:paraId="22948931" w14:textId="0011932C" w:rsidR="00D753B2" w:rsidRPr="00BC639A" w:rsidRDefault="00BC639A" w:rsidP="00D753B2">
      <w:pPr>
        <w:rPr>
          <w:lang w:val="fr-FR"/>
        </w:rPr>
      </w:pPr>
      <w:r w:rsidRPr="00BC639A">
        <w:rPr>
          <w:lang w:val="fr-FR"/>
        </w:rPr>
        <w:t xml:space="preserve">Après le retrait de Germanicus, Rome renonça à toute ambition offensive en Germanie pour se consacrer à l'établissement d'une frontière défensive systématique. Sous les règnes successifs allant de Tibère à Hadrien, les légions du Rhin menèrent une série d'expéditions punitives limitées plutôt que de véritables guerres de conquête : elles ripostaient aux incursions, réprimaient les tribus clientes en pleine agitation et traversaient occasionnellement le fleuve pour démontrer la puissance de Rome. L'évolution structurelle la plus marquante de cette période fut la construction et le développement progressif du </w:t>
      </w:r>
      <w:r>
        <w:rPr>
          <w:lang w:val="fr-FR"/>
        </w:rPr>
        <w:t>« </w:t>
      </w:r>
      <w:r w:rsidRPr="00BC639A">
        <w:rPr>
          <w:i/>
          <w:iCs/>
          <w:lang w:val="fr-FR"/>
        </w:rPr>
        <w:t>limes</w:t>
      </w:r>
      <w:r>
        <w:rPr>
          <w:lang w:val="fr-FR"/>
        </w:rPr>
        <w:t> »</w:t>
      </w:r>
      <w:r w:rsidRPr="00BC639A">
        <w:rPr>
          <w:lang w:val="fr-FR"/>
        </w:rPr>
        <w:t xml:space="preserve"> germanique, un système frontalier composé de routes, de tours de guet, de forts et, par la suite, de palissades reliant le Rhin au Danube. Domitien mena campagne contre les Chatt</w:t>
      </w:r>
      <w:r w:rsidR="00E7684F">
        <w:rPr>
          <w:lang w:val="fr-FR"/>
        </w:rPr>
        <w:t>i</w:t>
      </w:r>
      <w:r w:rsidRPr="00BC639A">
        <w:rPr>
          <w:lang w:val="fr-FR"/>
        </w:rPr>
        <w:t>s entre 83 et 85 apr. J.-C., repoussant la frontière vers les hauteurs du Taunus et établissant une ligne plus facile à défendre. Sous Trajan et Hadrien, le génie militaire se substitua aux effectifs humains comme principal instrument de contrôle frontalier pour Rome. Hadrien inspecta personnellement les garnisons du Rhin et du haut Danube lors de ses tournées dans les provinces et favorisa la standardisation des fortifications frontalières</w:t>
      </w:r>
      <w:r w:rsidR="00D753B2" w:rsidRPr="00BC639A">
        <w:rPr>
          <w:lang w:val="fr-FR"/>
        </w:rPr>
        <w:t>.</w:t>
      </w:r>
    </w:p>
    <w:p w14:paraId="1DA5CB93" w14:textId="2CF2312F" w:rsidR="00D753B2" w:rsidRDefault="0047654B" w:rsidP="00D753B2">
      <w:pPr>
        <w:pStyle w:val="Heading3"/>
      </w:pPr>
      <w:r w:rsidRPr="0047654B">
        <w:t>Résultat stratégique</w:t>
      </w:r>
    </w:p>
    <w:p w14:paraId="0D51D176" w14:textId="71737371" w:rsidR="00D753B2" w:rsidRPr="003909F8" w:rsidRDefault="003909F8" w:rsidP="00D753B2">
      <w:pPr>
        <w:rPr>
          <w:lang w:val="fr-FR"/>
        </w:rPr>
      </w:pPr>
      <w:r w:rsidRPr="003909F8">
        <w:rPr>
          <w:lang w:val="fr-FR"/>
        </w:rPr>
        <w:t>À la mort d'Hadrien en 138 apr. J.-C., la ligne Rhin-Danube devint ainsi ce qu'elle allait demeurer durant les deux siècles suivants : la limite reconnue du monde romain au nord. La leçon de Teutobourg</w:t>
      </w:r>
      <w:r w:rsidR="00E7684F">
        <w:rPr>
          <w:lang w:val="fr-FR"/>
        </w:rPr>
        <w:t xml:space="preserve">, </w:t>
      </w:r>
      <w:r w:rsidRPr="003909F8">
        <w:rPr>
          <w:lang w:val="fr-FR"/>
        </w:rPr>
        <w:t>à savoir qu'une résistance irrégulière et déterminée sur un terrain difficile pouvait neutraliser la supériorité romaine</w:t>
      </w:r>
      <w:r w:rsidR="00E7684F">
        <w:rPr>
          <w:lang w:val="fr-FR"/>
        </w:rPr>
        <w:t xml:space="preserve">, </w:t>
      </w:r>
      <w:r w:rsidRPr="003909F8">
        <w:rPr>
          <w:lang w:val="fr-FR"/>
        </w:rPr>
        <w:t xml:space="preserve">avait été assimilée, bien que jamais sans un certain malaise. La </w:t>
      </w:r>
      <w:r>
        <w:rPr>
          <w:lang w:val="fr-FR"/>
        </w:rPr>
        <w:t>« </w:t>
      </w:r>
      <w:r w:rsidRPr="003909F8">
        <w:rPr>
          <w:i/>
          <w:iCs/>
          <w:lang w:val="fr-FR"/>
        </w:rPr>
        <w:t>Germania Magna</w:t>
      </w:r>
      <w:r w:rsidR="00737EA6">
        <w:rPr>
          <w:lang w:val="fr-FR"/>
        </w:rPr>
        <w:t xml:space="preserve"> </w:t>
      </w:r>
      <w:r>
        <w:rPr>
          <w:lang w:val="fr-FR"/>
        </w:rPr>
        <w:t>»</w:t>
      </w:r>
      <w:r w:rsidRPr="003909F8">
        <w:rPr>
          <w:lang w:val="fr-FR"/>
        </w:rPr>
        <w:t>, au-delà de la frontière, demeurait invaincue, rappel permanent que les légions avaient leurs limites</w:t>
      </w:r>
      <w:r w:rsidR="00D753B2" w:rsidRPr="003909F8">
        <w:rPr>
          <w:lang w:val="fr-FR"/>
        </w:rPr>
        <w:t>.</w:t>
      </w:r>
    </w:p>
    <w:p w14:paraId="7DA5F753" w14:textId="086E44DD" w:rsidR="00D753B2" w:rsidRPr="00737EA6" w:rsidRDefault="00D753B2" w:rsidP="00D753B2">
      <w:pPr>
        <w:pStyle w:val="Heading2"/>
        <w:rPr>
          <w:lang w:val="fr-FR"/>
        </w:rPr>
      </w:pPr>
      <w:r w:rsidRPr="00737EA6">
        <w:rPr>
          <w:lang w:val="fr-FR"/>
        </w:rPr>
        <w:t xml:space="preserve">Rome </w:t>
      </w:r>
      <w:r w:rsidR="00737EA6" w:rsidRPr="00737EA6">
        <w:rPr>
          <w:lang w:val="fr-FR"/>
        </w:rPr>
        <w:t>en</w:t>
      </w:r>
      <w:r w:rsidRPr="00737EA6">
        <w:rPr>
          <w:lang w:val="fr-FR"/>
        </w:rPr>
        <w:t xml:space="preserve"> Britannia, 43–138</w:t>
      </w:r>
      <w:r w:rsidR="00737EA6" w:rsidRPr="00737EA6">
        <w:rPr>
          <w:lang w:val="fr-FR"/>
        </w:rPr>
        <w:t xml:space="preserve"> apr. J.-C.</w:t>
      </w:r>
    </w:p>
    <w:p w14:paraId="630E28CE" w14:textId="779F3FE0" w:rsidR="00D753B2" w:rsidRPr="00E34104" w:rsidRDefault="00E34104" w:rsidP="00D753B2">
      <w:pPr>
        <w:rPr>
          <w:lang w:val="fr-FR"/>
        </w:rPr>
      </w:pPr>
      <w:r w:rsidRPr="00E34104">
        <w:rPr>
          <w:lang w:val="fr-FR"/>
        </w:rPr>
        <w:t>La conquête et la pacification de la Bretagne mobilisèrent les efforts militaires romains pendant près d'un siècle, donnant lieu à certaines des campagnes les plus spectaculaires de l'Empire, à la rébellion provinciale la plus périlleuse et, finalement, à l'un des monuments les plus emblématiques de la politique romaine en matière de frontières. Aucune province ne mit à l'épreuve la capacité d'adaptation de Rome avec autant de persistance, ni ne résista aussi longtemps à la domination de ses armes</w:t>
      </w:r>
      <w:r w:rsidR="00D753B2" w:rsidRPr="00E34104">
        <w:rPr>
          <w:lang w:val="fr-FR"/>
        </w:rPr>
        <w:t>.</w:t>
      </w:r>
    </w:p>
    <w:p w14:paraId="31405834" w14:textId="4804807A" w:rsidR="00D753B2" w:rsidRPr="0098093E" w:rsidRDefault="00E34104" w:rsidP="00D753B2">
      <w:pPr>
        <w:pStyle w:val="Heading3"/>
        <w:rPr>
          <w:lang w:val="en-US"/>
        </w:rPr>
      </w:pPr>
      <w:r w:rsidRPr="00E34104">
        <w:t xml:space="preserve">L'invasion claudienne et la conquête initiale (43–47 apr. </w:t>
      </w:r>
      <w:r w:rsidRPr="00E34104">
        <w:rPr>
          <w:lang w:val="en-US"/>
        </w:rPr>
        <w:t xml:space="preserve">J.-C.) </w:t>
      </w:r>
    </w:p>
    <w:p w14:paraId="0C8495EA" w14:textId="7ECBBB43" w:rsidR="00D753B2" w:rsidRPr="00F47726" w:rsidRDefault="00F47726" w:rsidP="00D753B2">
      <w:pPr>
        <w:rPr>
          <w:lang w:val="fr-FR"/>
        </w:rPr>
      </w:pPr>
      <w:r w:rsidRPr="00F47726">
        <w:rPr>
          <w:lang w:val="fr-FR"/>
        </w:rPr>
        <w:t>L'invasion de la Bretagne en 43 apr. J.-C. fut motivée autant par des calculs politiques que par une nécessité stratégique. L'empereur Claude, que beaucoup jugeaient peu taillé pour le pouvoir, avait besoin de prestige militaire ; or, la Bretagne offrait une conquête prestigieuse que Jules César avait tenté de réaliser</w:t>
      </w:r>
      <w:r w:rsidR="006368B8">
        <w:rPr>
          <w:lang w:val="fr-FR"/>
        </w:rPr>
        <w:t xml:space="preserve"> </w:t>
      </w:r>
      <w:r w:rsidR="006368B8" w:rsidRPr="00F47726">
        <w:rPr>
          <w:lang w:val="fr-FR"/>
        </w:rPr>
        <w:t>par le passé</w:t>
      </w:r>
      <w:r w:rsidR="006368B8">
        <w:rPr>
          <w:lang w:val="fr-FR"/>
        </w:rPr>
        <w:t>,</w:t>
      </w:r>
      <w:r w:rsidRPr="00F47726">
        <w:rPr>
          <w:lang w:val="fr-FR"/>
        </w:rPr>
        <w:t xml:space="preserve"> sans toutefois y parvenir. Un corps expéditionnaire composé de quatre légions</w:t>
      </w:r>
      <w:r w:rsidR="006368B8">
        <w:rPr>
          <w:lang w:val="fr-FR"/>
        </w:rPr>
        <w:t xml:space="preserve"> (</w:t>
      </w:r>
      <w:r w:rsidRPr="00F47726">
        <w:rPr>
          <w:lang w:val="fr-FR"/>
        </w:rPr>
        <w:t xml:space="preserve">la II </w:t>
      </w:r>
      <w:r w:rsidRPr="00F47726">
        <w:rPr>
          <w:i/>
          <w:iCs/>
          <w:lang w:val="fr-FR"/>
        </w:rPr>
        <w:t>Augusta</w:t>
      </w:r>
      <w:r w:rsidRPr="00F47726">
        <w:rPr>
          <w:lang w:val="fr-FR"/>
        </w:rPr>
        <w:t xml:space="preserve">, la IX </w:t>
      </w:r>
      <w:r w:rsidRPr="00F47726">
        <w:rPr>
          <w:i/>
          <w:iCs/>
          <w:lang w:val="fr-FR"/>
        </w:rPr>
        <w:t>Hispana</w:t>
      </w:r>
      <w:r w:rsidRPr="00F47726">
        <w:rPr>
          <w:lang w:val="fr-FR"/>
        </w:rPr>
        <w:t xml:space="preserve">, la XIV </w:t>
      </w:r>
      <w:r w:rsidRPr="00F47726">
        <w:rPr>
          <w:i/>
          <w:iCs/>
          <w:lang w:val="fr-FR"/>
        </w:rPr>
        <w:t>Gemina</w:t>
      </w:r>
      <w:r w:rsidRPr="00F47726">
        <w:rPr>
          <w:lang w:val="fr-FR"/>
        </w:rPr>
        <w:t xml:space="preserve"> et la XX </w:t>
      </w:r>
      <w:r w:rsidRPr="00F47726">
        <w:rPr>
          <w:i/>
          <w:iCs/>
          <w:lang w:val="fr-FR"/>
        </w:rPr>
        <w:t>Valeria Victrix</w:t>
      </w:r>
      <w:r w:rsidR="006368B8">
        <w:rPr>
          <w:i/>
          <w:iCs/>
          <w:lang w:val="fr-FR"/>
        </w:rPr>
        <w:t>)</w:t>
      </w:r>
      <w:r w:rsidRPr="00F47726">
        <w:rPr>
          <w:lang w:val="fr-FR"/>
        </w:rPr>
        <w:t>, soit environ quarante mille hommes au total</w:t>
      </w:r>
      <w:r w:rsidR="00E5020D">
        <w:rPr>
          <w:lang w:val="fr-FR"/>
        </w:rPr>
        <w:t>,</w:t>
      </w:r>
      <w:r w:rsidRPr="00F47726">
        <w:rPr>
          <w:lang w:val="fr-FR"/>
        </w:rPr>
        <w:t xml:space="preserve"> traversa la Manche sous le commandement d'Aulus Plautius. Les Bretons, menés par Caratacus et Togodumnus </w:t>
      </w:r>
      <w:r w:rsidR="00E5020D">
        <w:rPr>
          <w:lang w:val="fr-FR"/>
        </w:rPr>
        <w:t>(</w:t>
      </w:r>
      <w:r w:rsidRPr="00F47726">
        <w:rPr>
          <w:lang w:val="fr-FR"/>
        </w:rPr>
        <w:t>fils du roi Cunobelinus, récemment décédé</w:t>
      </w:r>
      <w:r w:rsidR="00E5020D">
        <w:rPr>
          <w:lang w:val="fr-FR"/>
        </w:rPr>
        <w:t>)</w:t>
      </w:r>
      <w:r w:rsidRPr="00F47726">
        <w:rPr>
          <w:lang w:val="fr-FR"/>
        </w:rPr>
        <w:t xml:space="preserve">, opposèrent une vive résistance sur les rives de la Medway lors d'une bataille acharnée de deux jours, avant d'être repoussés au-delà de la Tamise. Claude arriva en personne pour l'offensive finale contre Camulodunum (l'actuelle Colchester), capitale des Catuvellauni ; il ne séjourna sur place que seize jours, le temps de recevoir la soumission de onze rois bretons. Plautius consacra ensuite quatre années à consolider l'occupation d'une vaste zone du sud de la Bretagne : il établit la Fosse Way comme première ligne de démarcation et envoya le futur empereur Vespasien, à la tête de la II </w:t>
      </w:r>
      <w:r w:rsidRPr="000A11E1">
        <w:rPr>
          <w:i/>
          <w:iCs/>
          <w:lang w:val="fr-FR"/>
        </w:rPr>
        <w:lastRenderedPageBreak/>
        <w:t>Augusta</w:t>
      </w:r>
      <w:r w:rsidRPr="00F47726">
        <w:rPr>
          <w:lang w:val="fr-FR"/>
        </w:rPr>
        <w:t xml:space="preserve">, soumettre le sud-ouest, où ce dernier s'empara de plus de vingt </w:t>
      </w:r>
      <w:r w:rsidRPr="000A11E1">
        <w:rPr>
          <w:i/>
          <w:iCs/>
          <w:lang w:val="fr-FR"/>
        </w:rPr>
        <w:t>oppida</w:t>
      </w:r>
      <w:r w:rsidRPr="00F47726">
        <w:rPr>
          <w:lang w:val="fr-FR"/>
        </w:rPr>
        <w:t xml:space="preserve"> (fortifications </w:t>
      </w:r>
      <w:r w:rsidR="00B1795D">
        <w:rPr>
          <w:lang w:val="fr-FR"/>
        </w:rPr>
        <w:t>au sommet d’une colline</w:t>
      </w:r>
      <w:r w:rsidRPr="00F47726">
        <w:rPr>
          <w:lang w:val="fr-FR"/>
        </w:rPr>
        <w:t>), dont le redoutable Maiden Castle</w:t>
      </w:r>
      <w:r w:rsidR="00D753B2" w:rsidRPr="00F47726">
        <w:rPr>
          <w:lang w:val="fr-FR"/>
        </w:rPr>
        <w:t>.</w:t>
      </w:r>
    </w:p>
    <w:p w14:paraId="5577EF60" w14:textId="560F9545" w:rsidR="00D753B2" w:rsidRPr="0098093E" w:rsidRDefault="00210072" w:rsidP="00D753B2">
      <w:pPr>
        <w:pStyle w:val="Heading3"/>
        <w:rPr>
          <w:lang w:val="en-US"/>
        </w:rPr>
      </w:pPr>
      <w:r w:rsidRPr="00210072">
        <w:t xml:space="preserve">Caratacus, les Icéniens et les années de résistance (47–61 apr. </w:t>
      </w:r>
      <w:r w:rsidRPr="00210072">
        <w:rPr>
          <w:lang w:val="en-US"/>
        </w:rPr>
        <w:t xml:space="preserve">J.-C.) </w:t>
      </w:r>
    </w:p>
    <w:p w14:paraId="752706A5" w14:textId="7691A04F" w:rsidR="00D753B2" w:rsidRDefault="00400B4C" w:rsidP="00D753B2">
      <w:r w:rsidRPr="00400B4C">
        <w:rPr>
          <w:lang w:val="fr-FR"/>
        </w:rPr>
        <w:t xml:space="preserve">Échappant à la conquête initiale, Caratacus déplaça le foyer de sa résistance, d'abord chez les Silures du sud du Pays de Galles, puis chez les Ordovices du nord. Il demeura une épine dans le pied de Rome jusqu'en 51 apr. J.-C., date à laquelle le gouverneur Publius Ostorius Scapula le vainquit lors d'une bataille rangée dans les hautes terres galloises. Caratacus se réfugia auprès de Cartimandua, reine des Brigantes et alliée vassale de Rome, qui le livra enchaîné. Il fut exhibé lors du triomphe de Claude mais eut la vie sauve, finissant ses jours à Rome. Sa capture ne ramena pas le calme au Pays de Galles ; les Silures poursuivirent une résistance acharnée sous forme de guérilla, immobilisant les forces romaines pendant des années. La crise majeure de cette période survint en 60-61 apr. J.-C., lorsque Boudicca, reine des Icéniens, prit la tête d'une révolte déclenchée par la mauvaise administration romaine consécutive à la mort de son époux, le roi Prasutagus. Ses troupes détruisirent Camulodunum, Londinium et Verulamium </w:t>
      </w:r>
      <w:r w:rsidR="00387922">
        <w:rPr>
          <w:lang w:val="fr-FR"/>
        </w:rPr>
        <w:t>(</w:t>
      </w:r>
      <w:r w:rsidRPr="00400B4C">
        <w:rPr>
          <w:lang w:val="fr-FR"/>
        </w:rPr>
        <w:t>les actuelles Londres et St Albans</w:t>
      </w:r>
      <w:r w:rsidR="00387922">
        <w:rPr>
          <w:lang w:val="fr-FR"/>
        </w:rPr>
        <w:t>)</w:t>
      </w:r>
      <w:r w:rsidRPr="00400B4C">
        <w:rPr>
          <w:lang w:val="fr-FR"/>
        </w:rPr>
        <w:t xml:space="preserve"> et tuèrent peut-être soixante-dix mille personnes, avant que le gouverneur Gaius Suetonius Paulinus, alors en campagne dans le nord du Pays de Galles et tout juste revenu de la destruction du sanctuaire druidique d'Anglesey, ne se précipite vers le sud pour l'affronter. Lors d'une bataille livrée sur un site non identifié des Midlands, les légions de Paulinus, bien qu'en infériorité numérique mais disciplinées, mirent en déroute l'immense armée de Boudicca. </w:t>
      </w:r>
      <w:r w:rsidRPr="00400B4C">
        <w:t>Elle préféra s'empoisonner plutôt que d'être capturée</w:t>
      </w:r>
      <w:r w:rsidR="00D753B2">
        <w:t>.</w:t>
      </w:r>
    </w:p>
    <w:p w14:paraId="7536E0CC" w14:textId="7B612A30" w:rsidR="00D753B2" w:rsidRPr="0098093E" w:rsidRDefault="006C14B8" w:rsidP="00D753B2">
      <w:pPr>
        <w:pStyle w:val="Heading3"/>
        <w:rPr>
          <w:lang w:val="en-US"/>
        </w:rPr>
      </w:pPr>
      <w:r w:rsidRPr="006C14B8">
        <w:t xml:space="preserve">Progression vers le nord et limites de la conquête (71–138 apr. </w:t>
      </w:r>
      <w:r w:rsidRPr="006C14B8">
        <w:rPr>
          <w:lang w:val="en-US"/>
        </w:rPr>
        <w:t xml:space="preserve">J.-C.) </w:t>
      </w:r>
    </w:p>
    <w:p w14:paraId="0B81D451" w14:textId="1AD71C2E" w:rsidR="00D753B2" w:rsidRPr="009E4B75" w:rsidRDefault="009E4B75" w:rsidP="00D753B2">
      <w:pPr>
        <w:rPr>
          <w:lang w:val="fr-FR"/>
        </w:rPr>
      </w:pPr>
      <w:r w:rsidRPr="009E4B75">
        <w:rPr>
          <w:lang w:val="fr-FR"/>
        </w:rPr>
        <w:t xml:space="preserve">Après la révolte de Boudicca, la consolidation l'emporta sur l'expansion pendant une décennie. Puis, sous les empereurs flaviens, Rome progressa résolument vers le nord. Quintus Petillius Cerialis soumit les puissants Brigantes du nord de l'Angleterre entre 71 et 74 apr. J.-C., tandis que Cnaeus Julius Agricola, le plus célèbre des gouverneurs de Bretagne, mena sept campagnes successives de 77 à 84 apr. J.-C., portant les armes romaines jusqu'en Écosse. Agricola fit le tour de la Bretagne par la mer, établit une ligne de forts à travers l'isthme séparant le Forth de la Clyde et écrasa la confédération calédonienne dirigée par Calgacus lors de la bataille du </w:t>
      </w:r>
      <w:r w:rsidR="00A21EB4">
        <w:rPr>
          <w:lang w:val="fr-FR"/>
        </w:rPr>
        <w:t>M</w:t>
      </w:r>
      <w:r w:rsidRPr="009E4B75">
        <w:rPr>
          <w:lang w:val="fr-FR"/>
        </w:rPr>
        <w:t xml:space="preserve">ont Graupius — la victoire romaine la plus septentrionale jamais enregistrée sur un champ de bataille. Toutefois, ses conquêtes ne furent pas consolidées. Sous Domitien puis sous Trajan, des troupes furent retirées d'Écosse pour faire face aux pressions sur la frontière du Danube, et la domination romaine se replia progressivement vers le sud. Un grave revers militaire, impliquant probablement la légion IX </w:t>
      </w:r>
      <w:r w:rsidRPr="009E4B75">
        <w:rPr>
          <w:i/>
          <w:iCs/>
          <w:lang w:val="fr-FR"/>
        </w:rPr>
        <w:t>Hispana</w:t>
      </w:r>
      <w:r w:rsidRPr="009E4B75">
        <w:rPr>
          <w:lang w:val="fr-FR"/>
        </w:rPr>
        <w:t>, semble s'être produit dans le nord vers 117-118 apr. J.-C. La réaction d'Hadrien fut sans appel : à partir de 122 apr. J.-C., il ordonna la construction d'un mur continu en pierre et en gazon s'étendant sur quelque 117 kilomètres, du Solway Firth jusqu'à la Tyne, définissant ainsi pour des générations la limite septentrionale de la Bretagne romaine. C'était l'aveu, délibéré et monumental, que le nord ne pouvait être maintenu sous contrôle</w:t>
      </w:r>
      <w:r w:rsidR="00D753B2" w:rsidRPr="009E4B75">
        <w:rPr>
          <w:lang w:val="fr-FR"/>
        </w:rPr>
        <w:t>.</w:t>
      </w:r>
    </w:p>
    <w:p w14:paraId="1316B0F0" w14:textId="33E07EFF" w:rsidR="00D753B2" w:rsidRPr="009E4B75" w:rsidRDefault="00D753B2" w:rsidP="00D753B2">
      <w:pPr>
        <w:pStyle w:val="Heading2"/>
        <w:rPr>
          <w:lang w:val="fr-FR"/>
        </w:rPr>
      </w:pPr>
      <w:r w:rsidRPr="009E4B75">
        <w:rPr>
          <w:lang w:val="fr-FR"/>
        </w:rPr>
        <w:t xml:space="preserve">Rome </w:t>
      </w:r>
      <w:r w:rsidR="009E4B75" w:rsidRPr="009E4B75">
        <w:rPr>
          <w:lang w:val="fr-FR"/>
        </w:rPr>
        <w:t>et</w:t>
      </w:r>
      <w:r w:rsidRPr="009E4B75">
        <w:rPr>
          <w:lang w:val="fr-FR"/>
        </w:rPr>
        <w:t xml:space="preserve"> </w:t>
      </w:r>
      <w:r w:rsidR="009E4B75" w:rsidRPr="009E4B75">
        <w:rPr>
          <w:lang w:val="fr-FR"/>
        </w:rPr>
        <w:t xml:space="preserve">la </w:t>
      </w:r>
      <w:r w:rsidRPr="009E4B75">
        <w:rPr>
          <w:lang w:val="fr-FR"/>
        </w:rPr>
        <w:t>Daci</w:t>
      </w:r>
      <w:r w:rsidR="009E4B75" w:rsidRPr="009E4B75">
        <w:rPr>
          <w:lang w:val="fr-FR"/>
        </w:rPr>
        <w:t>e</w:t>
      </w:r>
      <w:r w:rsidRPr="009E4B75">
        <w:rPr>
          <w:lang w:val="fr-FR"/>
        </w:rPr>
        <w:t>, 85–106</w:t>
      </w:r>
      <w:r w:rsidR="009E4B75">
        <w:rPr>
          <w:lang w:val="fr-FR"/>
        </w:rPr>
        <w:t xml:space="preserve"> </w:t>
      </w:r>
      <w:r w:rsidR="009E4B75" w:rsidRPr="009E4B75">
        <w:rPr>
          <w:lang w:val="fr-FR"/>
        </w:rPr>
        <w:t>apr. J.-C.</w:t>
      </w:r>
    </w:p>
    <w:p w14:paraId="688EA108" w14:textId="66F144F4" w:rsidR="00D753B2" w:rsidRPr="004375D7" w:rsidRDefault="004375D7" w:rsidP="00D753B2">
      <w:pPr>
        <w:rPr>
          <w:lang w:val="fr-FR"/>
        </w:rPr>
      </w:pPr>
      <w:r w:rsidRPr="004375D7">
        <w:rPr>
          <w:lang w:val="fr-FR"/>
        </w:rPr>
        <w:t xml:space="preserve">Les guerres entre Rome et la Dacie ont concentré, sur un peu plus de deux décennies, certaines des campagnes militaires les plus intenses et les plus lourdes de conséquences de toute l'époque impériale. Elles ont donné lieu à deux revers humiliants pour Rome, à deux des plus grands triomphes de Trajan et, finalement, à l'annexion de la province la plus riche que Rome ait jamais </w:t>
      </w:r>
      <w:r w:rsidRPr="004375D7">
        <w:rPr>
          <w:lang w:val="fr-FR"/>
        </w:rPr>
        <w:lastRenderedPageBreak/>
        <w:t>intégrée à son empire. Elles ont également légué au monde la colonne Trajane, le témoignage visuel le plus détaillé sur l'art de la guerre romain parvenu jusqu'à nous depuis l'Antiquité</w:t>
      </w:r>
      <w:r w:rsidR="00D753B2" w:rsidRPr="004375D7">
        <w:rPr>
          <w:lang w:val="fr-FR"/>
        </w:rPr>
        <w:t>.</w:t>
      </w:r>
    </w:p>
    <w:p w14:paraId="42C49270" w14:textId="29F45F37" w:rsidR="00D753B2" w:rsidRPr="0098093E" w:rsidRDefault="0030172F" w:rsidP="00D753B2">
      <w:pPr>
        <w:pStyle w:val="Heading3"/>
        <w:rPr>
          <w:lang w:val="en-US"/>
        </w:rPr>
      </w:pPr>
      <w:r w:rsidRPr="0030172F">
        <w:t xml:space="preserve">La menace dace et les guerres de Domitien (85–89 apr. </w:t>
      </w:r>
      <w:r w:rsidRPr="0030172F">
        <w:rPr>
          <w:lang w:val="en-US"/>
        </w:rPr>
        <w:t>J.-C.)</w:t>
      </w:r>
    </w:p>
    <w:p w14:paraId="0A32A70F" w14:textId="4163B5EB" w:rsidR="00D753B2" w:rsidRPr="00FC2A50" w:rsidRDefault="00FC2A50" w:rsidP="00D753B2">
      <w:pPr>
        <w:rPr>
          <w:lang w:val="fr-FR"/>
        </w:rPr>
      </w:pPr>
      <w:r w:rsidRPr="00FC2A50">
        <w:rPr>
          <w:lang w:val="fr-FR"/>
        </w:rPr>
        <w:t xml:space="preserve">La Dacie s'étendait sur le vaste arc des Carpates et le plateau de Transylvanie, au nord du Danube, correspondant en grande partie à la Roumanie actuelle. Sous le règne de leur roi </w:t>
      </w:r>
      <w:r w:rsidR="009164DA">
        <w:rPr>
          <w:lang w:val="fr-FR"/>
        </w:rPr>
        <w:t>Décibalus</w:t>
      </w:r>
      <w:r w:rsidRPr="00FC2A50">
        <w:rPr>
          <w:lang w:val="fr-FR"/>
        </w:rPr>
        <w:t>, les Daces avaient bâti un État centralisé et redoutable, capable de mobiliser des armées nombreuses dotées d'armes à pointe de fer et assistées par des ingénieurs grecs et romains ayant fait défection ou ayant été capturés. En 85 apr. J.-C., les forces daces traversèrent le Danube en masse et ravagèrent la province de Mésie, tuant son gouverneur Oppius Sabinus. L'empereur Domitien réagit personnellement : il se rendit sur la frontière danubienne et envoya son préfet du prétoire, Cornelius Fuscus, traverser le fleuve à la tête d'une armée importante. L'issue fut catastrophique : Fuscus fut tué et son armée anéantie, perdant au passage un</w:t>
      </w:r>
      <w:r w:rsidR="00B35AFA">
        <w:rPr>
          <w:lang w:val="fr-FR"/>
        </w:rPr>
        <w:t>e</w:t>
      </w:r>
      <w:r w:rsidRPr="00FC2A50">
        <w:rPr>
          <w:lang w:val="fr-FR"/>
        </w:rPr>
        <w:t xml:space="preserve"> aigle </w:t>
      </w:r>
      <w:r w:rsidR="00493F1B">
        <w:rPr>
          <w:lang w:val="fr-FR"/>
        </w:rPr>
        <w:t>de légion</w:t>
      </w:r>
      <w:r w:rsidR="00B35AFA">
        <w:rPr>
          <w:lang w:val="fr-FR"/>
        </w:rPr>
        <w:t>,</w:t>
      </w:r>
      <w:r w:rsidRPr="00FC2A50">
        <w:rPr>
          <w:lang w:val="fr-FR"/>
        </w:rPr>
        <w:t xml:space="preserve"> un désastre dont l'humiliation rappelait celui de Teutobourg. Domitien ne poursuivit pas la campagne et rentra à Rome pour y célébrer un triomphe que ses ennemis raillèrent, le qualifiant d'imposture. Une seconde expédition, menée par Tettius Julianus en 88 apr. J.-C., permit de restaurer quelque peu l'honneur romain en battant </w:t>
      </w:r>
      <w:r w:rsidR="009164DA">
        <w:rPr>
          <w:lang w:val="fr-FR"/>
        </w:rPr>
        <w:t>Décibalus</w:t>
      </w:r>
      <w:r w:rsidRPr="00FC2A50">
        <w:rPr>
          <w:lang w:val="fr-FR"/>
        </w:rPr>
        <w:t xml:space="preserve"> lors de la bataille de Tapae, dans la région des Portes de Fer ; toutefois, avant qu'une issue décisive ne puisse être atteinte, Domitien fut contraint de détourner son attention vers une dangereuse révolte sur le Rhin, menée par le gouverneur Saturninus. En 89 apr. J.-C., il conclut avec </w:t>
      </w:r>
      <w:r w:rsidR="009164DA">
        <w:rPr>
          <w:lang w:val="fr-FR"/>
        </w:rPr>
        <w:t>Décibalus</w:t>
      </w:r>
      <w:r w:rsidRPr="00FC2A50">
        <w:rPr>
          <w:lang w:val="fr-FR"/>
        </w:rPr>
        <w:t xml:space="preserve"> une paix que ses contemporains jugèrent profondément honteuse : Rome acceptait de verser un subside annuel à la Dacie, traitant de fait </w:t>
      </w:r>
      <w:r w:rsidR="009164DA">
        <w:rPr>
          <w:lang w:val="fr-FR"/>
        </w:rPr>
        <w:t>Décibalus</w:t>
      </w:r>
      <w:r w:rsidRPr="00FC2A50">
        <w:rPr>
          <w:lang w:val="fr-FR"/>
        </w:rPr>
        <w:t xml:space="preserve"> comme un roi client dont il fallait s'assurer la bienveillance par l'argent. Cet accord porta un grave préjudice au prestige romain sur le Danube</w:t>
      </w:r>
      <w:r w:rsidR="00D753B2" w:rsidRPr="00FC2A50">
        <w:rPr>
          <w:lang w:val="fr-FR"/>
        </w:rPr>
        <w:t>.</w:t>
      </w:r>
    </w:p>
    <w:p w14:paraId="543FB228" w14:textId="17F739D3" w:rsidR="00D753B2" w:rsidRPr="0098093E" w:rsidRDefault="000C327D" w:rsidP="00D753B2">
      <w:pPr>
        <w:pStyle w:val="Heading3"/>
        <w:rPr>
          <w:lang w:val="en-US"/>
        </w:rPr>
      </w:pPr>
      <w:r w:rsidRPr="000C327D">
        <w:t xml:space="preserve">Première guerre dacique de Trajan (101–102 apr. </w:t>
      </w:r>
      <w:r w:rsidRPr="000C327D">
        <w:rPr>
          <w:lang w:val="en-US"/>
        </w:rPr>
        <w:t xml:space="preserve">J.-C.) </w:t>
      </w:r>
    </w:p>
    <w:p w14:paraId="2AA27BDA" w14:textId="121B223C" w:rsidR="00D753B2" w:rsidRPr="000C327D" w:rsidRDefault="000C327D" w:rsidP="00D753B2">
      <w:pPr>
        <w:rPr>
          <w:lang w:val="fr-FR"/>
        </w:rPr>
      </w:pPr>
      <w:r w:rsidRPr="000C327D">
        <w:rPr>
          <w:lang w:val="fr-FR"/>
        </w:rPr>
        <w:t xml:space="preserve">Lorsque Trajan devint empereur en 98 apr. J.-C., il hérita à la fois des affaires en suspens laissées par Domitien et d'une conscience aiguë de leurs implications stratégiques. </w:t>
      </w:r>
      <w:r w:rsidR="009164DA">
        <w:rPr>
          <w:lang w:val="fr-FR"/>
        </w:rPr>
        <w:t>Décibalus</w:t>
      </w:r>
      <w:r w:rsidRPr="000C327D">
        <w:rPr>
          <w:lang w:val="fr-FR"/>
        </w:rPr>
        <w:t xml:space="preserve"> avait mis à profit les subsides romains et les années de paix pour renforcer davantage les fortifications et la puissance militaire de la Dacie. En 101 apr. J.-C., Trajan traversa le Danube à la tête d'une force imposante, fit construire un pont de bateaux permanent et pénétra en territoire dace en suivant deux axes de progression. La campagne donna lieu à des combats acharnés sur un terrain montagneux peu propice à la doctrine tactique romaine. Un second affrontement à Tapae fut âprement disputé, et les forces daces lancèrent une contre-attaque périlleuse en Mésie, menaçant de déstabiliser les arrières romains. Trajan mit fin à l'incursion en Mésie et reprit sa progression, contraignant </w:t>
      </w:r>
      <w:r w:rsidR="009164DA">
        <w:rPr>
          <w:lang w:val="fr-FR"/>
        </w:rPr>
        <w:t>Décibalus</w:t>
      </w:r>
      <w:r w:rsidRPr="000C327D">
        <w:rPr>
          <w:lang w:val="fr-FR"/>
        </w:rPr>
        <w:t xml:space="preserve"> à négocier. Les conditions de paix de 102 apr. J.-C. furent sévères : </w:t>
      </w:r>
      <w:r w:rsidR="009164DA">
        <w:rPr>
          <w:lang w:val="fr-FR"/>
        </w:rPr>
        <w:t>Décibalus</w:t>
      </w:r>
      <w:r w:rsidRPr="000C327D">
        <w:rPr>
          <w:lang w:val="fr-FR"/>
        </w:rPr>
        <w:t xml:space="preserve"> dut livrer ses ingénieurs et ses machines de guerre romains, démanteler les fortifications frontalières, réduire ses effectifs militaires et reconnaître la suzeraineté de Rome. Il fut autorisé à conserver son trône, mais en tant que roi client soumis à Rome, et non plus comme un souverain indépendant</w:t>
      </w:r>
      <w:r w:rsidR="00D753B2" w:rsidRPr="000C327D">
        <w:rPr>
          <w:lang w:val="fr-FR"/>
        </w:rPr>
        <w:t>.</w:t>
      </w:r>
    </w:p>
    <w:p w14:paraId="36763370" w14:textId="19F58E9B" w:rsidR="00D753B2" w:rsidRPr="0098093E" w:rsidRDefault="00694129" w:rsidP="00D753B2">
      <w:pPr>
        <w:pStyle w:val="Heading3"/>
        <w:rPr>
          <w:lang w:val="en-US"/>
        </w:rPr>
      </w:pPr>
      <w:r w:rsidRPr="00694129">
        <w:t xml:space="preserve">La seconde guerre dacique de Trajan et l'annexion (105–106 apr. </w:t>
      </w:r>
      <w:r w:rsidRPr="00694129">
        <w:rPr>
          <w:lang w:val="en-US"/>
        </w:rPr>
        <w:t xml:space="preserve">J.-C.) </w:t>
      </w:r>
    </w:p>
    <w:p w14:paraId="6B357E85" w14:textId="1BA5F51F" w:rsidR="00694129" w:rsidRPr="00694129" w:rsidRDefault="009164DA" w:rsidP="00694129">
      <w:pPr>
        <w:rPr>
          <w:lang w:val="fr-FR"/>
        </w:rPr>
      </w:pPr>
      <w:r>
        <w:rPr>
          <w:lang w:val="fr-FR"/>
        </w:rPr>
        <w:t>Décibalus</w:t>
      </w:r>
      <w:r w:rsidR="00694129" w:rsidRPr="00694129">
        <w:rPr>
          <w:lang w:val="fr-FR"/>
        </w:rPr>
        <w:t xml:space="preserve"> se révéla être un roi client rétif. Il entreprit rapidement de se réarmer, de nouer des intrigues avec les tribus voisines et d'attaquer les peuples alliés à Rome. En 105 apr. J.-C., Trajan opta pour une annexion définitive plutôt que pour une nouvelle phase de diplomatie fondée sur le statut d'État client. Il traversa le Danube en empruntant l'extraordinaire pont de pierre permanent conçu par l'ingénieur Apollodore de Damas à Drobeta</w:t>
      </w:r>
      <w:r w:rsidR="0031150E">
        <w:rPr>
          <w:lang w:val="fr-FR"/>
        </w:rPr>
        <w:t xml:space="preserve">, </w:t>
      </w:r>
      <w:r w:rsidR="00694129" w:rsidRPr="00694129">
        <w:rPr>
          <w:lang w:val="fr-FR"/>
        </w:rPr>
        <w:t xml:space="preserve">une prouesse technique si impressionnante </w:t>
      </w:r>
      <w:r w:rsidR="00694129" w:rsidRPr="00694129">
        <w:rPr>
          <w:lang w:val="fr-FR"/>
        </w:rPr>
        <w:lastRenderedPageBreak/>
        <w:t>qu'Hadrien en ordonna plus tard la démolition, craignant qu'il ne serve de voie d'invasion vers le territoire romain. Trajan pénétra méthodiquement au cœur du territoire dace, s'emparant un à un des grands complexes fortifiés des monts d'Or</w:t>
      </w:r>
      <w:r w:rsidR="00694129" w:rsidRPr="00694129">
        <w:rPr>
          <w:rFonts w:ascii="Cambria" w:hAnsi="Cambria" w:cs="Cambria"/>
          <w:lang w:val="fr-FR"/>
        </w:rPr>
        <w:t>ăș</w:t>
      </w:r>
      <w:r w:rsidR="00694129" w:rsidRPr="00694129">
        <w:rPr>
          <w:lang w:val="fr-FR"/>
        </w:rPr>
        <w:t>tie : Blidaru, Coste</w:t>
      </w:r>
      <w:r w:rsidR="00694129" w:rsidRPr="00694129">
        <w:rPr>
          <w:rFonts w:ascii="Cambria" w:hAnsi="Cambria" w:cs="Cambria"/>
          <w:lang w:val="fr-FR"/>
        </w:rPr>
        <w:t>ș</w:t>
      </w:r>
      <w:r w:rsidR="00694129" w:rsidRPr="00694129">
        <w:rPr>
          <w:lang w:val="fr-FR"/>
        </w:rPr>
        <w:t xml:space="preserve">ti et la capitale royale, Sarmizegetusa Regia. </w:t>
      </w:r>
      <w:r>
        <w:rPr>
          <w:lang w:val="fr-FR"/>
        </w:rPr>
        <w:t>Décibalus</w:t>
      </w:r>
      <w:r w:rsidR="00694129" w:rsidRPr="00694129">
        <w:rPr>
          <w:lang w:val="fr-FR"/>
        </w:rPr>
        <w:t xml:space="preserve"> prit la fuite lors de la chute de sa capitale, mais, acculé, il mit fin à ses jours plutôt que d'être exhibé en triomphe à Rome. La Dacie fut officiellement constituée en province romaine en 106 apr. J.-C. La conquête apporta d'immenses richesses : Trajan aurait saisi un demi-million de livres d'or et un million de livres d'argent dans les trésors royaux daces, finançant ainsi le forum, les marchés et la colonne qui portent encore son nom à Rome aujourd'hui.</w:t>
      </w:r>
    </w:p>
    <w:p w14:paraId="64B00D0E" w14:textId="457E96DA" w:rsidR="00D753B2" w:rsidRPr="00694129" w:rsidRDefault="00694129" w:rsidP="00694129">
      <w:pPr>
        <w:rPr>
          <w:lang w:val="fr-FR"/>
        </w:rPr>
      </w:pPr>
      <w:r w:rsidRPr="00694129">
        <w:rPr>
          <w:lang w:val="fr-FR"/>
        </w:rPr>
        <w:t>Les guerres daces offrent un scénario d'une cohérence exceptionnelle parmi les conflits frontaliers de Rome à cette époque : de l'humiliation initiale à la conquête pure et simple, en passant par la diplomatie des États clients. Contrairement à la Germanie, où le Rhin devint une frontière permanente, ou à la Parthie, où perdura un compromis négocié, la Dacie fut purement et simplement absorbée ; sa population fut si profondément romanisée que ses descendants parlent aujourd'hui une langue issue du latin et nomment leur pays la Roumanie. La colonne Trajane, qui se dresse toujours à Rome, immortalise en 155 scènes sculptées les campagnes militaires à l'origine de cette transformation</w:t>
      </w:r>
      <w:r w:rsidR="00D753B2" w:rsidRPr="00694129">
        <w:rPr>
          <w:lang w:val="fr-FR"/>
        </w:rPr>
        <w:t>.</w:t>
      </w:r>
    </w:p>
    <w:p w14:paraId="4E22702D" w14:textId="7397D20A" w:rsidR="00D753B2" w:rsidRPr="00CC7ABC" w:rsidRDefault="00CC7ABC" w:rsidP="00D753B2">
      <w:pPr>
        <w:pStyle w:val="Heading2"/>
        <w:rPr>
          <w:lang w:val="fr-FR"/>
        </w:rPr>
      </w:pPr>
      <w:r w:rsidRPr="00CC7ABC">
        <w:rPr>
          <w:lang w:val="fr-FR"/>
        </w:rPr>
        <w:t>Rome et les Parthes en guerre (54–138 apr. J.-C.)</w:t>
      </w:r>
    </w:p>
    <w:p w14:paraId="1A365873" w14:textId="4E589AA1" w:rsidR="00D753B2" w:rsidRPr="00822685" w:rsidRDefault="00822685" w:rsidP="00D753B2">
      <w:pPr>
        <w:rPr>
          <w:lang w:val="fr-FR"/>
        </w:rPr>
      </w:pPr>
      <w:r w:rsidRPr="00822685">
        <w:rPr>
          <w:lang w:val="fr-FR"/>
        </w:rPr>
        <w:t>Les huit décennies séparant l'avènement de Néron de la mort d'Hadrien virent Rome et les Parthes engagés dans une lutte récurrente pour la domination de l'ancien Proche-Orient. Le principal point de discorde était le royaume d'Arménie, un État tampon que les deux empires considéraient comme essentiel à leur sécurité et à leur prestige. Trois phases distinctes de conflit marquèrent cette période, chacune façonnée par la personnalité des empereurs et les capacités de leurs généraux</w:t>
      </w:r>
      <w:r w:rsidR="00D753B2" w:rsidRPr="00822685">
        <w:rPr>
          <w:lang w:val="fr-FR"/>
        </w:rPr>
        <w:t>.</w:t>
      </w:r>
    </w:p>
    <w:p w14:paraId="31EBEF0C" w14:textId="21C76C1D" w:rsidR="00D753B2" w:rsidRPr="00DB066B" w:rsidRDefault="00DB066B" w:rsidP="00D753B2">
      <w:pPr>
        <w:pStyle w:val="Heading3"/>
      </w:pPr>
      <w:r w:rsidRPr="00DB066B">
        <w:t xml:space="preserve">La guerre de Néron en Arménie (54-63 ap. J.-C.) </w:t>
      </w:r>
    </w:p>
    <w:p w14:paraId="433E6CD6" w14:textId="4AB50F6D" w:rsidR="00D753B2" w:rsidRPr="00BA5E6B" w:rsidRDefault="00BA5E6B" w:rsidP="00D753B2">
      <w:pPr>
        <w:rPr>
          <w:lang w:val="fr-FR"/>
        </w:rPr>
      </w:pPr>
      <w:r w:rsidRPr="00BA5E6B">
        <w:rPr>
          <w:lang w:val="fr-FR"/>
        </w:rPr>
        <w:t xml:space="preserve">Lorsque le roi parthe Vologèse Ier installa son frère Tiridate sur le trône d'Arménie vers 54 apr. J.-C., le gouvernement de Néron y vit un </w:t>
      </w:r>
      <w:r w:rsidRPr="00BA5E6B">
        <w:rPr>
          <w:i/>
          <w:iCs/>
          <w:lang w:val="fr-FR"/>
        </w:rPr>
        <w:t>casus belli</w:t>
      </w:r>
      <w:r w:rsidRPr="00BA5E6B">
        <w:rPr>
          <w:lang w:val="fr-FR"/>
        </w:rPr>
        <w:t>. L'empereur envoya sur la frontière orientale Cnaeus Domitius Corbulo, sans doute le meilleur chef militaire romain de l'époque. Corbulo consacra plusieurs années à remettre ses troupes en condition</w:t>
      </w:r>
      <w:r w:rsidR="00485BCE">
        <w:rPr>
          <w:lang w:val="fr-FR"/>
        </w:rPr>
        <w:t xml:space="preserve"> </w:t>
      </w:r>
      <w:r w:rsidRPr="00BA5E6B">
        <w:rPr>
          <w:lang w:val="fr-FR"/>
        </w:rPr>
        <w:t>avant de lancer une offensive vers le nord depuis la Syrie. Entre 58 et 60, il s'empara d'Artaxata, la capitale arménienne, qu'il fit incendier, puis captura et détruisit Tigranocerte. Rome installa un roi client favorable à ses intérêts, semblant ainsi avoir atteint ses objectifs. Les Parthes réagirent en renforçant le front arménien ; en 62 apr. J.-C., une armée romaine commandée par Lucius Caesennius Paetus fut acculée et humiliée à Rhandeia, contrainte de passer sous le joug, rappelant ainsi l'épisode des Fourches Caudines. Corbulo revint en force en 63 et marcha de nouveau sur Tigranocerte. Peu désireux de risquer une bataille rangée, les Parthes entamèrent des négociations. Le compromis trouvé à Rhandeia se révéla diplomatiquement habile : Tiridate régnerait sur l'Arménie, affirmant ainsi son ascendance parthe, mais recevrait sa couronne des mains de Néron à Rome, reconnaissant par là même la suzeraineté romaine. Cette formule, qui permettait à chacun de sauver la face, assura la paix pendant plus d'une décennie</w:t>
      </w:r>
      <w:r w:rsidR="00D753B2" w:rsidRPr="00BA5E6B">
        <w:rPr>
          <w:lang w:val="fr-FR"/>
        </w:rPr>
        <w:t>.</w:t>
      </w:r>
    </w:p>
    <w:p w14:paraId="4CE2208A" w14:textId="4221D306" w:rsidR="00D753B2" w:rsidRDefault="00FD6454" w:rsidP="00D753B2">
      <w:pPr>
        <w:pStyle w:val="Heading3"/>
      </w:pPr>
      <w:r w:rsidRPr="00FD6454">
        <w:t xml:space="preserve">Guerre parthique de Trajan (113–117 apr. J.-C.) </w:t>
      </w:r>
    </w:p>
    <w:p w14:paraId="1A071CF6" w14:textId="0299EB74" w:rsidR="00D753B2" w:rsidRPr="00684E92" w:rsidRDefault="00684E92" w:rsidP="00D753B2">
      <w:pPr>
        <w:rPr>
          <w:lang w:val="fr-FR"/>
        </w:rPr>
      </w:pPr>
      <w:r w:rsidRPr="00684E92">
        <w:rPr>
          <w:lang w:val="fr-FR"/>
        </w:rPr>
        <w:t xml:space="preserve">Après une longue période de relative stabilité, l'empereur Trajan lança l'offensive romaine la plus ambitieuse en Orient depuis celle de Marc Antoine. Il prit pour prétexte un nouveau conflit de succession en Arménie, mais ses ambitions allaient bien au-delà du simple règlement du sort d'un royaume client. En 114 apr. J.-C., il annexa purement et simplement l'Arménie pour en faire une </w:t>
      </w:r>
      <w:r w:rsidRPr="00684E92">
        <w:rPr>
          <w:lang w:val="fr-FR"/>
        </w:rPr>
        <w:lastRenderedPageBreak/>
        <w:t>province ; puis, en 115-116, il progressa vers le sud à travers la Mésopotamie, s'emparant des capitales parthes de Ctésiphon et de Séleucie sur le Tigre et descendant le fleuve jusqu'au golfe Persique</w:t>
      </w:r>
      <w:r w:rsidR="003E2874">
        <w:rPr>
          <w:lang w:val="fr-FR"/>
        </w:rPr>
        <w:t>,</w:t>
      </w:r>
      <w:r w:rsidRPr="00684E92">
        <w:rPr>
          <w:lang w:val="fr-FR"/>
        </w:rPr>
        <w:t xml:space="preserve"> le point le plus éloigné jamais atteint par une armée romaine. Arrivé au Golfe, il aurait déploré d'être trop âgé pour suivre les traces d'Alexandre. Le triomphe de cette campagne fut de courte durée. Des révoltes massives éclatèrent dans les territoires nouvellement conquis en 116-117, les communautés juives se soulevèrent de Cyrène jusqu'en Mésopotamie, et les forces parthes commandées par Sanatruces et Chosroès isolèrent des détachements romains. Trajan réprima ces soulèvements avec une grande brutalité, mais mourut en août 117 avant d'avoir pu consolider ses conquêtes</w:t>
      </w:r>
      <w:r w:rsidR="00D753B2" w:rsidRPr="00684E92">
        <w:rPr>
          <w:lang w:val="fr-FR"/>
        </w:rPr>
        <w:t>.</w:t>
      </w:r>
    </w:p>
    <w:p w14:paraId="1DEEC024" w14:textId="5A06EC0C" w:rsidR="00D753B2" w:rsidRPr="0098093E" w:rsidRDefault="004B136B" w:rsidP="00D753B2">
      <w:pPr>
        <w:pStyle w:val="Heading3"/>
        <w:rPr>
          <w:lang w:val="en-US"/>
        </w:rPr>
      </w:pPr>
      <w:r w:rsidRPr="004B136B">
        <w:t xml:space="preserve">La consolidation sous Hadrien et la frontière pacifiée (117–138 apr. </w:t>
      </w:r>
      <w:r w:rsidRPr="004B136B">
        <w:rPr>
          <w:lang w:val="en-US"/>
        </w:rPr>
        <w:t xml:space="preserve">J.-C.) </w:t>
      </w:r>
    </w:p>
    <w:p w14:paraId="73A15658" w14:textId="34AFB117" w:rsidR="00D753B2" w:rsidRPr="007D592B" w:rsidRDefault="007D592B" w:rsidP="00D753B2">
      <w:pPr>
        <w:rPr>
          <w:lang w:val="fr-FR"/>
        </w:rPr>
      </w:pPr>
      <w:r w:rsidRPr="007D592B">
        <w:rPr>
          <w:lang w:val="fr-FR"/>
        </w:rPr>
        <w:t>Hadrien renonça immédiatement aux conquêtes mésopotamiennes de Trajan, ramenant Rome vers l'Euphrate. La décision était controversée</w:t>
      </w:r>
      <w:r w:rsidR="003B5AE1">
        <w:rPr>
          <w:lang w:val="fr-FR"/>
        </w:rPr>
        <w:t xml:space="preserve"> </w:t>
      </w:r>
      <w:r w:rsidRPr="007D592B">
        <w:rPr>
          <w:lang w:val="fr-FR"/>
        </w:rPr>
        <w:t>mais s’est avérée stratégiquement judicieuse. Hadrien a reconnu que la mise en garnison de vastes étendues de Mésopotamie hostile mettait à rude épreuve la logistique romaine, et il a passé son règne à construire un périmètre impérial défendable, dont le mur d'Hadrien en Grande-Bretagne est l'expression la plus célèbre. À l'est, l'Euphrate est devenu la frontière acceptée et les relations avec la Parthie sous Osroès et plus tard Vologèse III sont restées largement pacifiques. La question arménienne a été gérée par la diplomatie plutôt que par la force. Le règne d'Hadrien met ainsi fin au cycle de confrontation militaire directe, établissant un équilibre stable mais précaire qui durera jusqu'au règne de Marc Aurèle</w:t>
      </w:r>
      <w:r w:rsidR="00D753B2" w:rsidRPr="007D592B">
        <w:rPr>
          <w:lang w:val="fr-FR"/>
        </w:rPr>
        <w:t>.</w:t>
      </w:r>
    </w:p>
    <w:p w14:paraId="1AE73527" w14:textId="6FACDC68" w:rsidR="00D753B2" w:rsidRDefault="00A533F5" w:rsidP="00D753B2">
      <w:pPr>
        <w:pStyle w:val="Heading3"/>
      </w:pPr>
      <w:r w:rsidRPr="00A533F5">
        <w:t>Caractère militaire des guerres</w:t>
      </w:r>
    </w:p>
    <w:p w14:paraId="33F2F4D4" w14:textId="12299079" w:rsidR="00D753B2" w:rsidRPr="00523058" w:rsidRDefault="00523058" w:rsidP="00D753B2">
      <w:pPr>
        <w:rPr>
          <w:lang w:val="fr-FR"/>
        </w:rPr>
      </w:pPr>
      <w:r w:rsidRPr="00523058">
        <w:rPr>
          <w:lang w:val="fr-FR"/>
        </w:rPr>
        <w:t>Ces conflits ont mis en lumière les forces et les limites tant des Romains que des Parthes. Rome excellait dans la guerre de siège et la bataille rangée ; Corbulo et Trajan ont démontré que des légions déterminées pouvaient progresser pratiquement partout dans la région. Les Parthes, en revanche, étaient passés maîtres dans l'art du repli stratégique et du harcèlement, capables de se dérober face aux avancées romaines pour revenir une fois les lignes de ravitaillement étirées à l'excès. Le relief montagneux de l'Arménie neutralisait une grande partie de la supériorité tactique de Rome. La leçon ultime</w:t>
      </w:r>
      <w:r w:rsidR="0093525B">
        <w:rPr>
          <w:lang w:val="fr-FR"/>
        </w:rPr>
        <w:t>,</w:t>
      </w:r>
      <w:r w:rsidRPr="00523058">
        <w:rPr>
          <w:lang w:val="fr-FR"/>
        </w:rPr>
        <w:t xml:space="preserve"> apprise au prix de lourdes épreuves par Trajan et acceptée avec sérénité par Hadrien</w:t>
      </w:r>
      <w:r w:rsidR="00042D8A">
        <w:rPr>
          <w:lang w:val="fr-FR"/>
        </w:rPr>
        <w:t>,</w:t>
      </w:r>
      <w:r w:rsidRPr="00523058">
        <w:rPr>
          <w:lang w:val="fr-FR"/>
        </w:rPr>
        <w:t xml:space="preserve"> était qu'une conquête à l'est de l'Euphrate s'avérait possible, mais non viable à long terme</w:t>
      </w:r>
      <w:r w:rsidR="00D753B2" w:rsidRPr="00523058">
        <w:rPr>
          <w:lang w:val="fr-FR"/>
        </w:rPr>
        <w:t>.</w:t>
      </w:r>
    </w:p>
    <w:p w14:paraId="710EBE49" w14:textId="25DC9551" w:rsidR="00D753B2" w:rsidRPr="006D3A31" w:rsidRDefault="006D3A31" w:rsidP="00D753B2">
      <w:pPr>
        <w:pStyle w:val="Heading2"/>
        <w:rPr>
          <w:lang w:val="fr-FR"/>
        </w:rPr>
      </w:pPr>
      <w:r w:rsidRPr="006D3A31">
        <w:rPr>
          <w:lang w:val="fr-FR"/>
        </w:rPr>
        <w:t>Rome en Judée, 66–136 apr. J.-C.</w:t>
      </w:r>
    </w:p>
    <w:p w14:paraId="5DA6E3EA" w14:textId="54295A28" w:rsidR="00D753B2" w:rsidRPr="00C43D05" w:rsidRDefault="00C43D05" w:rsidP="00D753B2">
      <w:pPr>
        <w:rPr>
          <w:lang w:val="fr-FR"/>
        </w:rPr>
      </w:pPr>
      <w:r w:rsidRPr="00C43D05">
        <w:rPr>
          <w:lang w:val="fr-FR"/>
        </w:rPr>
        <w:t>Les sept décennies entre le déclenchement de la Première Guerre juive et la répression de la révolte de Bar Kokhba représentent l’un des chapitres les plus brutaux de l’histoire provinciale romaine. Trois conflits successifs ont transformé la Judée d’une province agitée mais fonctionnelle en un désert dépeuplé, effacé Jérusalem de la carte et mis fin à la présence juive dans leur patrie ancestrale pendant près de deux millénaires. Aucune autre série de guerres provinciales n'a coûté autant de sang à Rome ni n'a été menée avec une telle destructivité systématique</w:t>
      </w:r>
      <w:r w:rsidR="00D753B2" w:rsidRPr="00C43D05">
        <w:rPr>
          <w:lang w:val="fr-FR"/>
        </w:rPr>
        <w:t>.</w:t>
      </w:r>
    </w:p>
    <w:p w14:paraId="6682806A" w14:textId="21690961" w:rsidR="00D753B2" w:rsidRPr="0098093E" w:rsidRDefault="00BA2FA1" w:rsidP="00D753B2">
      <w:pPr>
        <w:pStyle w:val="Heading3"/>
        <w:rPr>
          <w:lang w:val="en-US"/>
        </w:rPr>
      </w:pPr>
      <w:r w:rsidRPr="00BA2FA1">
        <w:t xml:space="preserve">La première guerre judéo-romaine (66–73 apr. </w:t>
      </w:r>
      <w:r w:rsidRPr="00BA2FA1">
        <w:rPr>
          <w:lang w:val="en-US"/>
        </w:rPr>
        <w:t xml:space="preserve">J.-C.) </w:t>
      </w:r>
    </w:p>
    <w:p w14:paraId="37855EBD" w14:textId="66FFF861" w:rsidR="00D753B2" w:rsidRPr="003C0F7F" w:rsidRDefault="003C0F7F" w:rsidP="00D753B2">
      <w:pPr>
        <w:rPr>
          <w:lang w:val="fr-FR"/>
        </w:rPr>
      </w:pPr>
      <w:r w:rsidRPr="003C0F7F">
        <w:rPr>
          <w:lang w:val="fr-FR"/>
        </w:rPr>
        <w:t>La révolte qui éclata en 66 apr. J.-C. résultait de décennies de mauvaise administration, de provocations religieuses et de tensions sociales. La saisie, par le procurateur Gessius Florus, de fonds provenant du trésor du Temple de Jérusalem déclencha une insurrection ouverte. Les forces romaines placées sous le commandement de Cestius Gallus, gouverneur de Syrie, marchèrent sur Jérusalem mais subirent un revers retentissant au col de Beth-Horon, perdant l'aigle d'une cohorte entière</w:t>
      </w:r>
      <w:r w:rsidR="00BF4598">
        <w:rPr>
          <w:lang w:val="fr-FR"/>
        </w:rPr>
        <w:t>,</w:t>
      </w:r>
      <w:r w:rsidRPr="003C0F7F">
        <w:rPr>
          <w:lang w:val="fr-FR"/>
        </w:rPr>
        <w:t xml:space="preserve"> une humiliation qui galvanisa la résistance juive dans toute la province. L'empereur Néron réagit en envoyant l'un de ses généraux les plus compétents, Titus Flavius </w:t>
      </w:r>
      <w:r w:rsidRPr="003C0F7F">
        <w:rPr>
          <w:rFonts w:ascii="Times New Roman" w:hAnsi="Times New Roman" w:cs="Times New Roman"/>
          <w:lang w:val="fr-FR"/>
        </w:rPr>
        <w:t>​​</w:t>
      </w:r>
      <w:r w:rsidRPr="003C0F7F">
        <w:rPr>
          <w:lang w:val="fr-FR"/>
        </w:rPr>
        <w:t xml:space="preserve">Vespasianus (Vespasien), </w:t>
      </w:r>
      <w:r w:rsidRPr="003C0F7F">
        <w:rPr>
          <w:rFonts w:cs="Souvenir Lt BT"/>
          <w:lang w:val="fr-FR"/>
        </w:rPr>
        <w:lastRenderedPageBreak/>
        <w:t>à</w:t>
      </w:r>
      <w:r w:rsidRPr="003C0F7F">
        <w:rPr>
          <w:lang w:val="fr-FR"/>
        </w:rPr>
        <w:t xml:space="preserve"> la t</w:t>
      </w:r>
      <w:r w:rsidRPr="003C0F7F">
        <w:rPr>
          <w:rFonts w:cs="Souvenir Lt BT"/>
          <w:lang w:val="fr-FR"/>
        </w:rPr>
        <w:t>ê</w:t>
      </w:r>
      <w:r w:rsidRPr="003C0F7F">
        <w:rPr>
          <w:lang w:val="fr-FR"/>
        </w:rPr>
        <w:t>te de trois l</w:t>
      </w:r>
      <w:r w:rsidRPr="003C0F7F">
        <w:rPr>
          <w:rFonts w:cs="Souvenir Lt BT"/>
          <w:lang w:val="fr-FR"/>
        </w:rPr>
        <w:t>é</w:t>
      </w:r>
      <w:r w:rsidRPr="003C0F7F">
        <w:rPr>
          <w:lang w:val="fr-FR"/>
        </w:rPr>
        <w:t>gions et d'importantes troupes auxiliaires. Vespasien mena une campagne méthodique en 67 et 68 apr. J.-C., soumettant systématiquement la Galilée et les régions côtières avant de resserrer l'étau autour de Jérusalem. Sa campagne en Galilée aboutit au siège et à la chute de Jotapata, où le commandant juif Josèphe se rendit avant de devenir, par la suite, le chroniqueur et l'interprète de la guerre le plus précieux pour Rome. La progression de Vespasien fut interrompue par le chaos politique de l'« Année des quatre empereurs », qui suivit la mort de Néron en 68 apr. J.-C. Lorsque Vespasien fut lui-même proclamé empereur en 69 apr. J.-C., il confia le commandement à son fils Titus. Titus assiégea Jérusalem avec quatre légions au printemps de l'an 70 apr. J.-C. La ville était déchirée par des luttes intestines entre groupes rebelles juifs alors même que les ouvrages de siège romains l'encerclaient. Après cinq mois de combats acharnés, les murailles furent percées et la ville systématiquement détruite. Le Temple</w:t>
      </w:r>
      <w:r w:rsidR="002337A7">
        <w:rPr>
          <w:lang w:val="fr-FR"/>
        </w:rPr>
        <w:t>,</w:t>
      </w:r>
      <w:r w:rsidRPr="003C0F7F">
        <w:rPr>
          <w:lang w:val="fr-FR"/>
        </w:rPr>
        <w:t xml:space="preserve"> centre spirituel du judaïsme</w:t>
      </w:r>
      <w:r w:rsidR="005F3B56">
        <w:rPr>
          <w:lang w:val="fr-FR"/>
        </w:rPr>
        <w:t xml:space="preserve">, </w:t>
      </w:r>
      <w:r w:rsidRPr="003C0F7F">
        <w:rPr>
          <w:lang w:val="fr-FR"/>
        </w:rPr>
        <w:t>fut incendié en août 70 apr. J.-C., et ses trésors furent transportés à Rome pour le triomphe de Titus. La résistance se poursuivit dans des forteresses isolées ; Massada, ultime bastion situé sur un plateau escarpé dominant la mer Morte, tomba en 73 apr. J.-C. après que les Romains eurent construit une immense rampe d'assaut. Selon Josèphe, ses quelque mille défenseurs choisirent le suicide collectif plutôt que la capture</w:t>
      </w:r>
      <w:r w:rsidR="00D753B2" w:rsidRPr="003C0F7F">
        <w:rPr>
          <w:lang w:val="fr-FR"/>
        </w:rPr>
        <w:t>.</w:t>
      </w:r>
    </w:p>
    <w:p w14:paraId="129058A5" w14:textId="131F110F" w:rsidR="00D753B2" w:rsidRPr="00A56B5B" w:rsidRDefault="00A56B5B" w:rsidP="00D753B2">
      <w:pPr>
        <w:pStyle w:val="Heading3"/>
      </w:pPr>
      <w:r w:rsidRPr="00A56B5B">
        <w:t xml:space="preserve">La guerre </w:t>
      </w:r>
      <w:r>
        <w:t xml:space="preserve">de </w:t>
      </w:r>
      <w:r w:rsidRPr="00A56B5B">
        <w:t xml:space="preserve">Quietus et la guerre </w:t>
      </w:r>
      <w:r w:rsidR="007561B9">
        <w:t xml:space="preserve">de </w:t>
      </w:r>
      <w:r w:rsidRPr="00A56B5B">
        <w:t>Kitos (115-117 après JC)</w:t>
      </w:r>
    </w:p>
    <w:p w14:paraId="46A57F91" w14:textId="07B69B8A" w:rsidR="00D753B2" w:rsidRPr="007561B9" w:rsidRDefault="007561B9" w:rsidP="00D753B2">
      <w:pPr>
        <w:rPr>
          <w:lang w:val="fr-FR"/>
        </w:rPr>
      </w:pPr>
      <w:r w:rsidRPr="007561B9">
        <w:rPr>
          <w:lang w:val="fr-FR"/>
        </w:rPr>
        <w:t>Durant la campagne parthe de Trajan, un vaste soulèvement juif éclata simultanément à travers la diaspora</w:t>
      </w:r>
      <w:r w:rsidR="00E0371E">
        <w:rPr>
          <w:lang w:val="fr-FR"/>
        </w:rPr>
        <w:t>,</w:t>
      </w:r>
      <w:r w:rsidRPr="007561B9">
        <w:rPr>
          <w:lang w:val="fr-FR"/>
        </w:rPr>
        <w:t xml:space="preserve"> en Cyrénaïque, en Égypte, à Chypre et en Mésopotamie</w:t>
      </w:r>
      <w:r w:rsidR="000D29A0">
        <w:rPr>
          <w:lang w:val="fr-FR"/>
        </w:rPr>
        <w:t xml:space="preserve"> </w:t>
      </w:r>
      <w:r w:rsidRPr="007561B9">
        <w:rPr>
          <w:lang w:val="fr-FR"/>
        </w:rPr>
        <w:t>: c'est ce que l'on appelle la guerre de Kitos. L'ampleur des violences fut catastrophique pour les deux camps ; les sources antiques, bien qu'enclines à l'exagération, font état de centaines de milliers de morts. La révolte en Mésopotamie menaçait directement les lignes de ravitaillement de Trajan. Le général Lucius Quietus réprima le soulèvement avec une grande férocité, pacifiant la Mésopotamie avant d'être nommé gouverneur de Judée pour y prévenir tout trouble. Les révoltes furent écrasées en 117 apr. J.-C., mais les communautés juives de Cyrénaïque et de Chypre furent pratiquement anéanties</w:t>
      </w:r>
      <w:r w:rsidR="00D753B2" w:rsidRPr="007561B9">
        <w:rPr>
          <w:lang w:val="fr-FR"/>
        </w:rPr>
        <w:t>.</w:t>
      </w:r>
    </w:p>
    <w:p w14:paraId="561BBE68" w14:textId="4D4E0C34" w:rsidR="00D753B2" w:rsidRPr="0098093E" w:rsidRDefault="009F1DB3" w:rsidP="00D753B2">
      <w:pPr>
        <w:pStyle w:val="Heading3"/>
        <w:rPr>
          <w:lang w:val="en-US"/>
        </w:rPr>
      </w:pPr>
      <w:r w:rsidRPr="009F1DB3">
        <w:t xml:space="preserve">La révolte de Bar Kokhba (132–136 apr. </w:t>
      </w:r>
      <w:r w:rsidRPr="009F1DB3">
        <w:rPr>
          <w:lang w:val="en-US"/>
        </w:rPr>
        <w:t xml:space="preserve">J.-C.) </w:t>
      </w:r>
    </w:p>
    <w:p w14:paraId="3C9BAB7B" w14:textId="7792BB0F" w:rsidR="00E559C8" w:rsidRPr="00E559C8" w:rsidRDefault="00E559C8" w:rsidP="00E559C8">
      <w:pPr>
        <w:rPr>
          <w:lang w:val="fr-FR"/>
        </w:rPr>
      </w:pPr>
      <w:r w:rsidRPr="00E559C8">
        <w:rPr>
          <w:lang w:val="fr-FR"/>
        </w:rPr>
        <w:t>Le dernier conflit, et le plus violent, fut déclenché par la décision d'Hadrien de rebâtir Jérusalem sous la forme d'une colonie romaine, Aelia Capitolina, et d'ériger un temple dédié à Jupiter sur le site</w:t>
      </w:r>
      <w:r w:rsidR="006B36F4">
        <w:rPr>
          <w:lang w:val="fr-FR"/>
        </w:rPr>
        <w:t>,</w:t>
      </w:r>
      <w:r w:rsidRPr="00E559C8">
        <w:rPr>
          <w:lang w:val="fr-FR"/>
        </w:rPr>
        <w:t xml:space="preserve"> ou à proximité immédiate</w:t>
      </w:r>
      <w:r w:rsidR="006B36F4">
        <w:rPr>
          <w:lang w:val="fr-FR"/>
        </w:rPr>
        <w:t xml:space="preserve">, </w:t>
      </w:r>
      <w:r w:rsidRPr="00E559C8">
        <w:rPr>
          <w:lang w:val="fr-FR"/>
        </w:rPr>
        <w:t xml:space="preserve">de l'ancien Temple juif détruit. Simon bar Kokhba, considéré par nombre de Juifs comme le Messie promis, prit la tête d'une révolte dont l'efficacité initiale fut remarquable. Les forces romaines furent chassées d'une grande partie de la Judée et subirent de très lourdes pertes ; dans son rapport au Sénat, Hadrien omit volontairement la formule rituelle indiquant que lui et son armée se portaient bien. L'empereur dépêcha depuis la Bretagne Sextus Julius Severus, le général en qui il avait le plus confiance ; celui-ci mena une campagne d'usure méthodique, réduisant les bastions juifs un par un plutôt que de risquer une bataille rangée. Bar Kokhba livra son ultime combat à Betar, au sud-ouest de Jérusalem ; la place tomba en 135 apr. J.-C. et Bar Kokhba fut tué au cours des affrontements. Les représailles furent dévastatrices : la Judée fut rebaptisée </w:t>
      </w:r>
      <w:r w:rsidRPr="00E559C8">
        <w:rPr>
          <w:i/>
          <w:iCs/>
          <w:lang w:val="fr-FR"/>
        </w:rPr>
        <w:t>Syria Palaestina</w:t>
      </w:r>
      <w:r w:rsidRPr="00E559C8">
        <w:rPr>
          <w:lang w:val="fr-FR"/>
        </w:rPr>
        <w:t>, Jérusalem fut reconstruite sous le nom d'Aelia Capitolina (ville interdite aux Juifs sous peine de mort), et la population juive de la province fut massacrée, réduite en esclavage ou dispersée</w:t>
      </w:r>
      <w:r w:rsidR="00B81D71">
        <w:rPr>
          <w:lang w:val="fr-FR"/>
        </w:rPr>
        <w:t>. L</w:t>
      </w:r>
      <w:r w:rsidRPr="00E559C8">
        <w:rPr>
          <w:lang w:val="fr-FR"/>
        </w:rPr>
        <w:t>es sources antiques évaluant ces pertes à plusieurs centaines de milliers de personnes.</w:t>
      </w:r>
    </w:p>
    <w:p w14:paraId="44A1CE0A" w14:textId="6DBDD4E1" w:rsidR="00DC3F91" w:rsidRDefault="00E559C8" w:rsidP="00E559C8">
      <w:pPr>
        <w:rPr>
          <w:lang w:val="fr-FR"/>
        </w:rPr>
      </w:pPr>
      <w:r w:rsidRPr="00E559C8">
        <w:rPr>
          <w:lang w:val="fr-FR"/>
        </w:rPr>
        <w:t xml:space="preserve">Les guerres romaines en Judée se distinguent des autres conflits frontaliers de l'époque par leur issue radicale. En Germanie, en Bretagne ou face aux Parthes, Rome finissait toujours par parvenir à un </w:t>
      </w:r>
      <w:r w:rsidRPr="00E559C8">
        <w:rPr>
          <w:lang w:val="fr-FR"/>
        </w:rPr>
        <w:lastRenderedPageBreak/>
        <w:t>compromis</w:t>
      </w:r>
      <w:r w:rsidR="00B81D71">
        <w:rPr>
          <w:lang w:val="fr-FR"/>
        </w:rPr>
        <w:t>,</w:t>
      </w:r>
      <w:r w:rsidRPr="00E559C8">
        <w:rPr>
          <w:lang w:val="fr-FR"/>
        </w:rPr>
        <w:t xml:space="preserve"> qu'il s'agisse d'une ligne fortifiée, d'un arrangement diplomatique ou d'une sphère d'influence reconnue de part et d'autre. En Judée, l'issue fut l'effacement. La province qui émergea après 136 apr. J.-C. possédait un nouveau nom, une nouvelle capitale et une population dépouillée de sa culture dominante. De tous les théâtres d'opérations militaires évoqués dans cette série de synthèses, la Judée fut le seul cas où le conflit ne déboucha pas sur la fixation d'une frontière, mais sur une véritable oblitération.</w:t>
      </w:r>
    </w:p>
    <w:p w14:paraId="5E499C7C" w14:textId="14EDFFE2" w:rsidR="00CF087B" w:rsidRDefault="00F312A5" w:rsidP="00F312A5">
      <w:pPr>
        <w:pStyle w:val="Heading2"/>
        <w:rPr>
          <w:lang w:val="fr-FR"/>
        </w:rPr>
      </w:pPr>
      <w:r>
        <w:rPr>
          <w:lang w:val="fr-FR"/>
        </w:rPr>
        <w:t>Bibliographie</w:t>
      </w:r>
      <w:r w:rsidR="00D753B2" w:rsidRPr="00E559C8">
        <w:rPr>
          <w:lang w:val="fr-FR"/>
        </w:rPr>
        <w:t xml:space="preserve"> </w:t>
      </w:r>
    </w:p>
    <w:p w14:paraId="6AEBAF06" w14:textId="6027E1B0" w:rsidR="00985A40" w:rsidRDefault="00985A40" w:rsidP="00DD0F2B">
      <w:pPr>
        <w:pStyle w:val="Heading3"/>
      </w:pPr>
      <w:r>
        <w:t>Germania</w:t>
      </w:r>
    </w:p>
    <w:p w14:paraId="54BF41A9" w14:textId="466BF206" w:rsidR="00985A40" w:rsidRPr="008D613D" w:rsidRDefault="008D613D" w:rsidP="00985A40">
      <w:r w:rsidRPr="0030412C">
        <w:rPr>
          <w:i/>
          <w:iCs/>
        </w:rPr>
        <w:t>Teutoburg Forest AD 9</w:t>
      </w:r>
      <w:r w:rsidRPr="008D613D">
        <w:t xml:space="preserve"> – Michael M</w:t>
      </w:r>
      <w:r>
        <w:t xml:space="preserve">cNally / Peter Dennis </w:t>
      </w:r>
      <w:r w:rsidR="0030412C">
        <w:t>–</w:t>
      </w:r>
      <w:r>
        <w:t xml:space="preserve"> Ospr</w:t>
      </w:r>
      <w:r w:rsidR="0030412C">
        <w:t>e</w:t>
      </w:r>
      <w:r>
        <w:t>y</w:t>
      </w:r>
      <w:r w:rsidR="0030412C">
        <w:t xml:space="preserve"> - 2011</w:t>
      </w:r>
    </w:p>
    <w:p w14:paraId="7A1159ED" w14:textId="7FD6B506" w:rsidR="00C025CE" w:rsidRPr="00C025CE" w:rsidRDefault="00C025CE" w:rsidP="00DD0F2B">
      <w:pPr>
        <w:pStyle w:val="Heading3"/>
      </w:pPr>
      <w:r>
        <w:t>Britannia</w:t>
      </w:r>
    </w:p>
    <w:p w14:paraId="4905253A" w14:textId="63B220EE" w:rsidR="00CF087B" w:rsidRPr="00386DEC" w:rsidRDefault="00564589" w:rsidP="00070A84">
      <w:pPr>
        <w:rPr>
          <w:i/>
          <w:iCs/>
        </w:rPr>
      </w:pPr>
      <w:r>
        <w:rPr>
          <w:i/>
          <w:iCs/>
        </w:rPr>
        <w:t xml:space="preserve">Britannia AD 43 – The Claudian Invasion </w:t>
      </w:r>
      <w:r w:rsidR="00386DEC">
        <w:t>–</w:t>
      </w:r>
      <w:r w:rsidRPr="00564589">
        <w:t xml:space="preserve"> </w:t>
      </w:r>
      <w:r w:rsidR="00386DEC">
        <w:t>Nic Fields / Steve Noon – Osprey – 2020</w:t>
      </w:r>
      <w:r w:rsidR="00386DEC">
        <w:rPr>
          <w:i/>
          <w:iCs/>
        </w:rPr>
        <w:br/>
      </w:r>
      <w:r w:rsidR="00757A16" w:rsidRPr="00DD0F2B">
        <w:rPr>
          <w:i/>
          <w:iCs/>
        </w:rPr>
        <w:t>Britannia</w:t>
      </w:r>
      <w:r w:rsidR="00944247" w:rsidRPr="00DD0F2B">
        <w:rPr>
          <w:i/>
          <w:iCs/>
        </w:rPr>
        <w:t xml:space="preserve"> AD 43-105 – British Celtic Warrior versus Roman Soldier</w:t>
      </w:r>
      <w:r w:rsidR="00944247">
        <w:t xml:space="preserve"> </w:t>
      </w:r>
      <w:r w:rsidR="00F1568B">
        <w:t>–</w:t>
      </w:r>
      <w:r w:rsidR="00944247">
        <w:t xml:space="preserve"> </w:t>
      </w:r>
      <w:r w:rsidR="00F1568B">
        <w:t>William Horsted</w:t>
      </w:r>
      <w:r w:rsidR="00CC488B">
        <w:t xml:space="preserve"> / Adam Hook</w:t>
      </w:r>
      <w:r w:rsidR="00F1568B">
        <w:t xml:space="preserve"> </w:t>
      </w:r>
      <w:r w:rsidR="00F1568B" w:rsidRPr="00985A40">
        <w:rPr>
          <w:i/>
          <w:iCs/>
        </w:rPr>
        <w:t xml:space="preserve">– Osprey </w:t>
      </w:r>
      <w:r w:rsidR="00DD0F2B" w:rsidRPr="00985A40">
        <w:rPr>
          <w:i/>
          <w:iCs/>
        </w:rPr>
        <w:t>–</w:t>
      </w:r>
      <w:r w:rsidR="00F1568B" w:rsidRPr="00985A40">
        <w:rPr>
          <w:i/>
          <w:iCs/>
        </w:rPr>
        <w:t xml:space="preserve"> </w:t>
      </w:r>
      <w:r w:rsidR="00E60C04" w:rsidRPr="00985A40">
        <w:rPr>
          <w:i/>
          <w:iCs/>
        </w:rPr>
        <w:t>2022</w:t>
      </w:r>
      <w:r w:rsidR="00D473DB" w:rsidRPr="00985A40">
        <w:rPr>
          <w:i/>
          <w:iCs/>
        </w:rPr>
        <w:br/>
        <w:t>Boudicca</w:t>
      </w:r>
      <w:r w:rsidR="00057047" w:rsidRPr="00985A40">
        <w:rPr>
          <w:i/>
          <w:iCs/>
        </w:rPr>
        <w:t>’s Rebellion AD 60-61</w:t>
      </w:r>
      <w:r w:rsidR="00057047">
        <w:t xml:space="preserve"> – Nic Fields / Peter Dennis – Osprey - </w:t>
      </w:r>
      <w:r w:rsidR="00985A40">
        <w:t>2011</w:t>
      </w:r>
    </w:p>
    <w:p w14:paraId="71A563C7" w14:textId="0C794C7B" w:rsidR="00DD0F2B" w:rsidRDefault="00DD0F2B" w:rsidP="00DD0F2B">
      <w:pPr>
        <w:pStyle w:val="Heading3"/>
      </w:pPr>
      <w:r>
        <w:t>Dacia</w:t>
      </w:r>
    </w:p>
    <w:p w14:paraId="039A9032" w14:textId="7BBBC057" w:rsidR="00DD0F2B" w:rsidRDefault="005E6A51" w:rsidP="00DD0F2B">
      <w:r w:rsidRPr="005B133C">
        <w:rPr>
          <w:i/>
          <w:iCs/>
        </w:rPr>
        <w:t>Th</w:t>
      </w:r>
      <w:r w:rsidR="00AA7836" w:rsidRPr="005B133C">
        <w:rPr>
          <w:i/>
          <w:iCs/>
        </w:rPr>
        <w:t>e</w:t>
      </w:r>
      <w:r w:rsidRPr="005B133C">
        <w:rPr>
          <w:i/>
          <w:iCs/>
        </w:rPr>
        <w:t xml:space="preserve"> Dacians and Getae at War – 4</w:t>
      </w:r>
      <w:r w:rsidRPr="005B133C">
        <w:rPr>
          <w:i/>
          <w:iCs/>
          <w:vertAlign w:val="superscript"/>
        </w:rPr>
        <w:t>th</w:t>
      </w:r>
      <w:r w:rsidRPr="005B133C">
        <w:rPr>
          <w:i/>
          <w:iCs/>
        </w:rPr>
        <w:t xml:space="preserve"> Century BC – 2</w:t>
      </w:r>
      <w:r w:rsidRPr="005B133C">
        <w:rPr>
          <w:i/>
          <w:iCs/>
          <w:vertAlign w:val="superscript"/>
        </w:rPr>
        <w:t>nd</w:t>
      </w:r>
      <w:r w:rsidRPr="005B133C">
        <w:rPr>
          <w:i/>
          <w:iCs/>
        </w:rPr>
        <w:t xml:space="preserve"> Century AD</w:t>
      </w:r>
      <w:r w:rsidR="00AA7836">
        <w:t xml:space="preserve"> – Andrei Pogacias </w:t>
      </w:r>
      <w:r w:rsidR="00A64C2A">
        <w:t xml:space="preserve">/ Catalin Draghici – Osprey </w:t>
      </w:r>
      <w:r w:rsidR="00F64735">
        <w:t>–</w:t>
      </w:r>
      <w:r w:rsidR="00A64C2A">
        <w:t xml:space="preserve"> </w:t>
      </w:r>
      <w:r w:rsidR="00F64735">
        <w:t>2023</w:t>
      </w:r>
      <w:r w:rsidR="00DE26A3">
        <w:br/>
      </w:r>
      <w:r w:rsidR="00DE26A3" w:rsidRPr="00270A9C">
        <w:rPr>
          <w:i/>
          <w:iCs/>
        </w:rPr>
        <w:t>Roman Soldier versus Dacian Warrior</w:t>
      </w:r>
      <w:r w:rsidR="00FB7AB0">
        <w:t xml:space="preserve"> – Murray Dahm / </w:t>
      </w:r>
      <w:r w:rsidR="00270A9C">
        <w:t>Giuseppe Rava – Osprey - 2025</w:t>
      </w:r>
    </w:p>
    <w:p w14:paraId="00EC8BB6" w14:textId="70C5BB10" w:rsidR="00F64735" w:rsidRDefault="00F64735" w:rsidP="00F64735">
      <w:pPr>
        <w:pStyle w:val="Heading3"/>
      </w:pPr>
      <w:r>
        <w:t>Parthia</w:t>
      </w:r>
    </w:p>
    <w:p w14:paraId="41078F95" w14:textId="26EEB9E2" w:rsidR="00F64735" w:rsidRDefault="00FB4047" w:rsidP="00DD0F2B">
      <w:r w:rsidRPr="005B133C">
        <w:rPr>
          <w:i/>
          <w:iCs/>
        </w:rPr>
        <w:t>Roman Soldier versus Parthian Warrior</w:t>
      </w:r>
      <w:r>
        <w:t xml:space="preserve"> – Si Sheppard / Johnny Shumate</w:t>
      </w:r>
      <w:r w:rsidR="000C2C35">
        <w:t xml:space="preserve"> – Osprey </w:t>
      </w:r>
      <w:r w:rsidR="00524E26">
        <w:t>–</w:t>
      </w:r>
      <w:r w:rsidR="000C2C35">
        <w:t xml:space="preserve"> 2020</w:t>
      </w:r>
    </w:p>
    <w:p w14:paraId="6AAE34B8" w14:textId="233EC130" w:rsidR="00524E26" w:rsidRDefault="00524E26" w:rsidP="00524E26">
      <w:pPr>
        <w:pStyle w:val="Heading3"/>
      </w:pPr>
      <w:r>
        <w:t>Judea</w:t>
      </w:r>
    </w:p>
    <w:p w14:paraId="6793A231" w14:textId="5BB300B9" w:rsidR="00524E26" w:rsidRPr="00D473DB" w:rsidRDefault="00657303" w:rsidP="00DD0F2B">
      <w:pPr>
        <w:rPr>
          <w:i/>
          <w:iCs/>
        </w:rPr>
      </w:pPr>
      <w:r>
        <w:rPr>
          <w:i/>
          <w:iCs/>
        </w:rPr>
        <w:t xml:space="preserve">The Jewish Revolt AD 66-74 </w:t>
      </w:r>
      <w:r w:rsidR="00591D61" w:rsidRPr="00591D61">
        <w:t>–</w:t>
      </w:r>
      <w:r w:rsidRPr="00591D61">
        <w:t xml:space="preserve"> </w:t>
      </w:r>
      <w:r w:rsidR="00591D61" w:rsidRPr="00591D61">
        <w:t>Si Sheppard</w:t>
      </w:r>
      <w:r w:rsidR="00591D61">
        <w:t xml:space="preserve"> / Peter Dennis – Osprey </w:t>
      </w:r>
      <w:r w:rsidR="00D473DB">
        <w:t>–</w:t>
      </w:r>
      <w:r w:rsidR="00591D61">
        <w:t xml:space="preserve"> </w:t>
      </w:r>
      <w:r w:rsidR="00D473DB">
        <w:t>2013</w:t>
      </w:r>
      <w:r w:rsidR="00D473DB">
        <w:rPr>
          <w:i/>
          <w:iCs/>
        </w:rPr>
        <w:br/>
      </w:r>
      <w:r w:rsidR="00524E26" w:rsidRPr="005B133C">
        <w:rPr>
          <w:i/>
          <w:iCs/>
        </w:rPr>
        <w:t>The Bar Kokhba War AD 132-136</w:t>
      </w:r>
      <w:r w:rsidR="00B109F7">
        <w:t xml:space="preserve"> – Lin</w:t>
      </w:r>
      <w:r w:rsidR="00591D61">
        <w:t>d</w:t>
      </w:r>
      <w:r w:rsidR="00B109F7">
        <w:t xml:space="preserve">say Powell / Peter Dennis – Osprey </w:t>
      </w:r>
      <w:r>
        <w:t>–</w:t>
      </w:r>
      <w:r w:rsidR="00B109F7">
        <w:t xml:space="preserve"> </w:t>
      </w:r>
      <w:r w:rsidR="005B133C">
        <w:t>2017</w:t>
      </w:r>
    </w:p>
    <w:p w14:paraId="3EF95140" w14:textId="4AE4F8D9" w:rsidR="00CD4DC7" w:rsidRDefault="00C130EB" w:rsidP="00CD4DC7">
      <w:pPr>
        <w:pStyle w:val="Heading1"/>
      </w:pPr>
      <w:r>
        <w:t>Les personnages</w:t>
      </w:r>
    </w:p>
    <w:p w14:paraId="7DAED5B2" w14:textId="2B421EE6" w:rsidR="00CD4DC7" w:rsidRDefault="00C130EB" w:rsidP="00CD4DC7">
      <w:pPr>
        <w:pStyle w:val="Heading2"/>
        <w:rPr>
          <w:lang w:val="fr-FR"/>
        </w:rPr>
      </w:pPr>
      <w:r>
        <w:rPr>
          <w:lang w:val="fr-FR"/>
        </w:rPr>
        <w:t>Les Romains</w:t>
      </w:r>
    </w:p>
    <w:p w14:paraId="3748F883" w14:textId="7974DF0F" w:rsidR="00CD4DC7" w:rsidRDefault="00C130EB" w:rsidP="00CD4DC7">
      <w:pPr>
        <w:pStyle w:val="Heading3"/>
      </w:pPr>
      <w:r>
        <w:t>La cavalerie auxiliaire</w:t>
      </w:r>
      <w:r w:rsidR="00CD4DC7" w:rsidRPr="0039056B">
        <w:t xml:space="preserve"> (Rc</w:t>
      </w:r>
      <w:r w:rsidR="00CD4DC7">
        <w:t>x</w:t>
      </w:r>
      <w:r w:rsidR="00CD4DC7" w:rsidRPr="0039056B">
        <w:t>)</w:t>
      </w:r>
    </w:p>
    <w:p w14:paraId="7D0FE760" w14:textId="398C3F2C" w:rsidR="00AC6A28" w:rsidRPr="00AC6A28" w:rsidRDefault="009761FB" w:rsidP="00AC6A28">
      <w:pPr>
        <w:rPr>
          <w:lang w:val="fr-FR"/>
        </w:rPr>
      </w:pPr>
      <w:r>
        <w:rPr>
          <w:noProof/>
        </w:rPr>
        <w:drawing>
          <wp:anchor distT="0" distB="0" distL="114300" distR="114300" simplePos="0" relativeHeight="251659264" behindDoc="1" locked="0" layoutInCell="1" allowOverlap="1" wp14:anchorId="54604F47" wp14:editId="26E03757">
            <wp:simplePos x="0" y="0"/>
            <wp:positionH relativeFrom="margin">
              <wp:align>right</wp:align>
            </wp:positionH>
            <wp:positionV relativeFrom="paragraph">
              <wp:posOffset>8890</wp:posOffset>
            </wp:positionV>
            <wp:extent cx="1371600" cy="1321308"/>
            <wp:effectExtent l="0" t="0" r="0" b="0"/>
            <wp:wrapTight wrapText="bothSides">
              <wp:wrapPolygon edited="0">
                <wp:start x="0" y="0"/>
                <wp:lineTo x="0" y="21185"/>
                <wp:lineTo x="21300" y="21185"/>
                <wp:lineTo x="21300" y="0"/>
                <wp:lineTo x="0" y="0"/>
              </wp:wrapPolygon>
            </wp:wrapTight>
            <wp:docPr id="249546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546335" name="Picture 249546335"/>
                    <pic:cNvPicPr/>
                  </pic:nvPicPr>
                  <pic:blipFill>
                    <a:blip r:embed="rId8">
                      <a:extLst>
                        <a:ext uri="{28A0092B-C50C-407E-A947-70E740481C1C}">
                          <a14:useLocalDpi xmlns:a14="http://schemas.microsoft.com/office/drawing/2010/main" val="0"/>
                        </a:ext>
                      </a:extLst>
                    </a:blip>
                    <a:stretch>
                      <a:fillRect/>
                    </a:stretch>
                  </pic:blipFill>
                  <pic:spPr>
                    <a:xfrm>
                      <a:off x="0" y="0"/>
                      <a:ext cx="1371600" cy="1321308"/>
                    </a:xfrm>
                    <a:prstGeom prst="rect">
                      <a:avLst/>
                    </a:prstGeom>
                  </pic:spPr>
                </pic:pic>
              </a:graphicData>
            </a:graphic>
          </wp:anchor>
        </w:drawing>
      </w:r>
      <w:r w:rsidR="00AC6A28" w:rsidRPr="00AC6A28">
        <w:rPr>
          <w:lang w:val="fr-FR"/>
        </w:rPr>
        <w:t>Le cavalier auxiliaire romain (</w:t>
      </w:r>
      <w:r w:rsidR="00AC6A28" w:rsidRPr="00AC6A28">
        <w:rPr>
          <w:i/>
          <w:iCs/>
          <w:lang w:val="fr-FR"/>
        </w:rPr>
        <w:t>eques alaris</w:t>
      </w:r>
      <w:r w:rsidR="00AC6A28" w:rsidRPr="00AC6A28">
        <w:rPr>
          <w:lang w:val="fr-FR"/>
        </w:rPr>
        <w:t>) constituait l'élément opérationnel clé de l'Empire sur toutes les frontières, de la Bretagne à la Mésopotamie. Il portait une cotte de mailles (</w:t>
      </w:r>
      <w:r w:rsidR="00AC6A28" w:rsidRPr="00AC6A28">
        <w:rPr>
          <w:i/>
          <w:iCs/>
          <w:lang w:val="fr-FR"/>
        </w:rPr>
        <w:t>lorica hamata</w:t>
      </w:r>
      <w:r w:rsidR="00AC6A28" w:rsidRPr="00AC6A28">
        <w:rPr>
          <w:lang w:val="fr-FR"/>
        </w:rPr>
        <w:t>) sur une tunique de laine, un casque en bronze ou en fer de type Coolus ou « gallo-romain impérial » (doté de couvre-joues) voire un casque d'apparat pour les parades ainsi que des braies en cuir rentrées dans de lourdes bottes. Un grand bouclier ovale (</w:t>
      </w:r>
      <w:r w:rsidR="00AC6A28" w:rsidRPr="00AC6A28">
        <w:rPr>
          <w:i/>
          <w:iCs/>
          <w:lang w:val="fr-FR"/>
        </w:rPr>
        <w:t>clipeus</w:t>
      </w:r>
      <w:r w:rsidR="00AC6A28" w:rsidRPr="00AC6A28">
        <w:rPr>
          <w:lang w:val="fr-FR"/>
        </w:rPr>
        <w:t>) assurait sa protection, tandis qu'une épée longue (</w:t>
      </w:r>
      <w:r w:rsidR="00AC6A28" w:rsidRPr="00AC6A28">
        <w:rPr>
          <w:i/>
          <w:iCs/>
          <w:lang w:val="fr-FR"/>
        </w:rPr>
        <w:t>spatha</w:t>
      </w:r>
      <w:r w:rsidR="00AC6A28" w:rsidRPr="00AC6A28">
        <w:rPr>
          <w:lang w:val="fr-FR"/>
        </w:rPr>
        <w:t>)</w:t>
      </w:r>
      <w:r w:rsidR="00AC6A28">
        <w:rPr>
          <w:lang w:val="fr-FR"/>
        </w:rPr>
        <w:t>,</w:t>
      </w:r>
      <w:r w:rsidR="00AC6A28" w:rsidRPr="00AC6A28">
        <w:rPr>
          <w:lang w:val="fr-FR"/>
        </w:rPr>
        <w:t xml:space="preserve"> plus adaptée au combat à cheval et aux coups de taille que le </w:t>
      </w:r>
      <w:r w:rsidR="00AC6A28" w:rsidRPr="00AC6A28">
        <w:rPr>
          <w:i/>
          <w:iCs/>
          <w:lang w:val="fr-FR"/>
        </w:rPr>
        <w:t>gladius</w:t>
      </w:r>
      <w:r w:rsidR="00AC6A28" w:rsidRPr="00AC6A28">
        <w:rPr>
          <w:lang w:val="fr-FR"/>
        </w:rPr>
        <w:t xml:space="preserve"> du légionnaire</w:t>
      </w:r>
      <w:r w:rsidR="00AC6A28">
        <w:rPr>
          <w:lang w:val="fr-FR"/>
        </w:rPr>
        <w:t>,</w:t>
      </w:r>
      <w:r w:rsidR="00AC6A28" w:rsidRPr="00AC6A28">
        <w:rPr>
          <w:lang w:val="fr-FR"/>
        </w:rPr>
        <w:t xml:space="preserve"> lui servait d'arme principale. Un faisceau de javelots de jet (</w:t>
      </w:r>
      <w:r w:rsidR="00AC6A28" w:rsidRPr="00AC6A28">
        <w:rPr>
          <w:i/>
          <w:iCs/>
          <w:lang w:val="fr-FR"/>
        </w:rPr>
        <w:t>hastae</w:t>
      </w:r>
      <w:r w:rsidR="00AC6A28" w:rsidRPr="00AC6A28">
        <w:rPr>
          <w:lang w:val="fr-FR"/>
        </w:rPr>
        <w:t>) et, parfois, une lance complétaient son arsenal.</w:t>
      </w:r>
    </w:p>
    <w:p w14:paraId="17B13315" w14:textId="0B194E80" w:rsidR="00CD4DC7" w:rsidRPr="00AC6A28" w:rsidRDefault="00AC6A28" w:rsidP="00AC6A28">
      <w:pPr>
        <w:rPr>
          <w:lang w:val="fr-FR"/>
        </w:rPr>
      </w:pPr>
      <w:r w:rsidRPr="00AC6A28">
        <w:rPr>
          <w:lang w:val="fr-FR"/>
        </w:rPr>
        <w:t xml:space="preserve">La cavalerie auxiliaire livrait rarement la charge de choc dévastatrice caractéristique des cataphractaires orientaux. Elle assurait plutôt la couverture des flancs des légions, poursuivait les ennemis en déroute, menait des reconnaissances en profondeur et harcelait les lignes de </w:t>
      </w:r>
      <w:r w:rsidRPr="00AC6A28">
        <w:rPr>
          <w:lang w:val="fr-FR"/>
        </w:rPr>
        <w:lastRenderedPageBreak/>
        <w:t xml:space="preserve">ravitaillement. Organisés en </w:t>
      </w:r>
      <w:r w:rsidRPr="00053E24">
        <w:rPr>
          <w:i/>
          <w:iCs/>
          <w:lang w:val="fr-FR"/>
        </w:rPr>
        <w:t>alae</w:t>
      </w:r>
      <w:r w:rsidRPr="00AC6A28">
        <w:rPr>
          <w:lang w:val="fr-FR"/>
        </w:rPr>
        <w:t xml:space="preserve"> de 500 ou 1 000 hommes recrutés en Gaule, en Ibérie, en Thrace, en Syrie et en Numidie, ces cavaliers mettaient leurs styles de combat régionaux au service de Rome : les lanciers syriens apportaient une puissance de choc accrue, tandis que les cavaliers gaulois excellaient dans les poursuites en terrain boisé. C'est leur polyvalence, bien plus que leur puissance </w:t>
      </w:r>
      <w:r w:rsidR="00DC0DBB">
        <w:rPr>
          <w:noProof/>
        </w:rPr>
        <w:drawing>
          <wp:anchor distT="0" distB="0" distL="114300" distR="114300" simplePos="0" relativeHeight="251661312" behindDoc="1" locked="0" layoutInCell="1" allowOverlap="1" wp14:anchorId="3D1C044B" wp14:editId="64E52F5B">
            <wp:simplePos x="0" y="0"/>
            <wp:positionH relativeFrom="margin">
              <wp:align>right</wp:align>
            </wp:positionH>
            <wp:positionV relativeFrom="paragraph">
              <wp:posOffset>765175</wp:posOffset>
            </wp:positionV>
            <wp:extent cx="914400" cy="1429385"/>
            <wp:effectExtent l="0" t="0" r="0" b="0"/>
            <wp:wrapTight wrapText="bothSides">
              <wp:wrapPolygon edited="0">
                <wp:start x="0" y="0"/>
                <wp:lineTo x="0" y="21303"/>
                <wp:lineTo x="21150" y="21303"/>
                <wp:lineTo x="21150" y="0"/>
                <wp:lineTo x="0" y="0"/>
              </wp:wrapPolygon>
            </wp:wrapTight>
            <wp:docPr id="19885378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537891" name="Picture 1988537891"/>
                    <pic:cNvPicPr/>
                  </pic:nvPicPr>
                  <pic:blipFill>
                    <a:blip r:embed="rId9" cstate="print">
                      <a:extLst>
                        <a:ext uri="{28A0092B-C50C-407E-A947-70E740481C1C}">
                          <a14:useLocalDpi xmlns:a14="http://schemas.microsoft.com/office/drawing/2010/main" val="0"/>
                        </a:ext>
                      </a:extLst>
                    </a:blip>
                    <a:stretch>
                      <a:fillRect/>
                    </a:stretch>
                  </pic:blipFill>
                  <pic:spPr>
                    <a:xfrm>
                      <a:off x="0" y="0"/>
                      <a:ext cx="914400" cy="1429385"/>
                    </a:xfrm>
                    <a:prstGeom prst="rect">
                      <a:avLst/>
                    </a:prstGeom>
                  </pic:spPr>
                </pic:pic>
              </a:graphicData>
            </a:graphic>
            <wp14:sizeRelH relativeFrom="margin">
              <wp14:pctWidth>0</wp14:pctWidth>
            </wp14:sizeRelH>
            <wp14:sizeRelV relativeFrom="margin">
              <wp14:pctHeight>0</wp14:pctHeight>
            </wp14:sizeRelV>
          </wp:anchor>
        </w:drawing>
      </w:r>
      <w:r w:rsidRPr="00AC6A28">
        <w:rPr>
          <w:lang w:val="fr-FR"/>
        </w:rPr>
        <w:t>brute, qui les rendait indispensables au système de combat interarmes romain</w:t>
      </w:r>
      <w:r w:rsidR="00CD4DC7" w:rsidRPr="00AC6A28">
        <w:rPr>
          <w:lang w:val="fr-FR"/>
        </w:rPr>
        <w:t>.</w:t>
      </w:r>
    </w:p>
    <w:p w14:paraId="04017AEF" w14:textId="15951280" w:rsidR="00CD4DC7" w:rsidRPr="00053E24" w:rsidRDefault="00053E24" w:rsidP="00CD4DC7">
      <w:pPr>
        <w:pStyle w:val="Heading3"/>
      </w:pPr>
      <w:r w:rsidRPr="00053E24">
        <w:t>Officiers romains en tenue civile</w:t>
      </w:r>
      <w:r w:rsidR="00CD4DC7" w:rsidRPr="00053E24">
        <w:t xml:space="preserve"> (Rit &amp; Rcl)</w:t>
      </w:r>
    </w:p>
    <w:p w14:paraId="47D5CF2E" w14:textId="294D072F" w:rsidR="00CD4DC7" w:rsidRPr="00C27A63" w:rsidRDefault="00C27A63" w:rsidP="00CD4DC7">
      <w:pPr>
        <w:rPr>
          <w:lang w:val="fr-FR"/>
        </w:rPr>
      </w:pPr>
      <w:r w:rsidRPr="00C27A63">
        <w:rPr>
          <w:lang w:val="fr-FR"/>
        </w:rPr>
        <w:t xml:space="preserve">La plupart du temps, les soldats romains ou leurs chefs ne portaient pas leur lourde </w:t>
      </w:r>
      <w:r w:rsidRPr="00C27A63">
        <w:rPr>
          <w:i/>
          <w:iCs/>
          <w:lang w:val="fr-FR"/>
        </w:rPr>
        <w:t>lorica segmentata</w:t>
      </w:r>
      <w:r w:rsidRPr="00C27A63">
        <w:rPr>
          <w:lang w:val="fr-FR"/>
        </w:rPr>
        <w:t xml:space="preserve"> ou </w:t>
      </w:r>
      <w:r w:rsidRPr="00C27A63">
        <w:rPr>
          <w:i/>
          <w:iCs/>
          <w:lang w:val="fr-FR"/>
        </w:rPr>
        <w:t>lorica hamata</w:t>
      </w:r>
      <w:r w:rsidRPr="00C27A63">
        <w:rPr>
          <w:lang w:val="fr-FR"/>
        </w:rPr>
        <w:t xml:space="preserve">. Ils </w:t>
      </w:r>
      <w:r>
        <w:rPr>
          <w:lang w:val="fr-FR"/>
        </w:rPr>
        <w:t xml:space="preserve">étaient </w:t>
      </w:r>
      <w:r w:rsidRPr="00C27A63">
        <w:rPr>
          <w:lang w:val="fr-FR"/>
        </w:rPr>
        <w:t xml:space="preserve">vêtus d'une simple tunique et d'un manteau, tout en gardant sur eux leur </w:t>
      </w:r>
      <w:r w:rsidRPr="00C27A63">
        <w:rPr>
          <w:i/>
          <w:iCs/>
          <w:lang w:val="fr-FR"/>
        </w:rPr>
        <w:t>gladius</w:t>
      </w:r>
      <w:r w:rsidRPr="00C27A63">
        <w:rPr>
          <w:lang w:val="fr-FR"/>
        </w:rPr>
        <w:t xml:space="preserve"> ou, s'il s'agissait de centurions, leur </w:t>
      </w:r>
      <w:r>
        <w:rPr>
          <w:lang w:val="fr-FR"/>
        </w:rPr>
        <w:t>canne</w:t>
      </w:r>
      <w:r w:rsidRPr="00C27A63">
        <w:rPr>
          <w:lang w:val="fr-FR"/>
        </w:rPr>
        <w:t xml:space="preserve"> de vigne</w:t>
      </w:r>
      <w:r w:rsidR="00CD4DC7" w:rsidRPr="00C27A63">
        <w:rPr>
          <w:lang w:val="fr-FR"/>
        </w:rPr>
        <w:t>.</w:t>
      </w:r>
    </w:p>
    <w:p w14:paraId="707A05EE" w14:textId="32AE8727" w:rsidR="00CD4DC7" w:rsidRDefault="00C27A63" w:rsidP="00CD4DC7">
      <w:pPr>
        <w:pStyle w:val="Heading3"/>
      </w:pPr>
      <w:r>
        <w:t>Les</w:t>
      </w:r>
      <w:r w:rsidR="00CD4DC7" w:rsidRPr="0039056B">
        <w:t xml:space="preserve"> legiona</w:t>
      </w:r>
      <w:r>
        <w:t>ire</w:t>
      </w:r>
      <w:r w:rsidR="00CD4DC7" w:rsidRPr="0039056B">
        <w:t>s</w:t>
      </w:r>
      <w:r w:rsidR="00CD4DC7">
        <w:t xml:space="preserve"> (Rig)</w:t>
      </w:r>
    </w:p>
    <w:p w14:paraId="76A278CB" w14:textId="200B80AB" w:rsidR="0007791D" w:rsidRPr="0007791D" w:rsidRDefault="00561956" w:rsidP="0007791D">
      <w:pPr>
        <w:rPr>
          <w:lang w:val="fr-FR"/>
        </w:rPr>
      </w:pPr>
      <w:r>
        <w:rPr>
          <w:noProof/>
        </w:rPr>
        <w:drawing>
          <wp:anchor distT="0" distB="0" distL="114300" distR="114300" simplePos="0" relativeHeight="251663360" behindDoc="1" locked="0" layoutInCell="1" allowOverlap="1" wp14:anchorId="7453D8C4" wp14:editId="01C9536D">
            <wp:simplePos x="0" y="0"/>
            <wp:positionH relativeFrom="margin">
              <wp:align>right</wp:align>
            </wp:positionH>
            <wp:positionV relativeFrom="paragraph">
              <wp:posOffset>38100</wp:posOffset>
            </wp:positionV>
            <wp:extent cx="1828800" cy="1572768"/>
            <wp:effectExtent l="0" t="0" r="0" b="8890"/>
            <wp:wrapTight wrapText="bothSides">
              <wp:wrapPolygon edited="0">
                <wp:start x="0" y="0"/>
                <wp:lineTo x="0" y="21460"/>
                <wp:lineTo x="21375" y="21460"/>
                <wp:lineTo x="21375" y="0"/>
                <wp:lineTo x="0" y="0"/>
              </wp:wrapPolygon>
            </wp:wrapTight>
            <wp:docPr id="1476877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7724" name="Picture 147687724"/>
                    <pic:cNvPicPr/>
                  </pic:nvPicPr>
                  <pic:blipFill>
                    <a:blip r:embed="rId10">
                      <a:extLst>
                        <a:ext uri="{28A0092B-C50C-407E-A947-70E740481C1C}">
                          <a14:useLocalDpi xmlns:a14="http://schemas.microsoft.com/office/drawing/2010/main" val="0"/>
                        </a:ext>
                      </a:extLst>
                    </a:blip>
                    <a:stretch>
                      <a:fillRect/>
                    </a:stretch>
                  </pic:blipFill>
                  <pic:spPr>
                    <a:xfrm>
                      <a:off x="0" y="0"/>
                      <a:ext cx="1828800" cy="1572768"/>
                    </a:xfrm>
                    <a:prstGeom prst="rect">
                      <a:avLst/>
                    </a:prstGeom>
                  </pic:spPr>
                </pic:pic>
              </a:graphicData>
            </a:graphic>
            <wp14:sizeRelH relativeFrom="margin">
              <wp14:pctWidth>0</wp14:pctWidth>
            </wp14:sizeRelH>
            <wp14:sizeRelV relativeFrom="margin">
              <wp14:pctHeight>0</wp14:pctHeight>
            </wp14:sizeRelV>
          </wp:anchor>
        </w:drawing>
      </w:r>
      <w:r w:rsidR="0007791D" w:rsidRPr="0007791D">
        <w:rPr>
          <w:lang w:val="fr-FR"/>
        </w:rPr>
        <w:t xml:space="preserve">Le légionnaire romain du Haut-Empire représentait l'élite de l'infanterie lourde antique : un soldat de métier dont l'équipement et la doctrine tactique avaient été perfectionnés au fil de deux siècles de guerres quasi ininterrompues. Il portait la </w:t>
      </w:r>
      <w:r w:rsidR="0007791D" w:rsidRPr="0007791D">
        <w:rPr>
          <w:i/>
          <w:iCs/>
          <w:lang w:val="fr-FR"/>
        </w:rPr>
        <w:t>lorica segmentata</w:t>
      </w:r>
      <w:r w:rsidR="0007791D" w:rsidRPr="0007791D">
        <w:rPr>
          <w:lang w:val="fr-FR"/>
        </w:rPr>
        <w:t xml:space="preserve"> articulée</w:t>
      </w:r>
      <w:r w:rsidR="0007791D">
        <w:rPr>
          <w:lang w:val="fr-FR"/>
        </w:rPr>
        <w:t>,</w:t>
      </w:r>
      <w:r w:rsidR="0007791D" w:rsidRPr="0007791D">
        <w:rPr>
          <w:lang w:val="fr-FR"/>
        </w:rPr>
        <w:t xml:space="preserve"> composée de bandes de fer superposées et reliées par des garnitures en laiton</w:t>
      </w:r>
      <w:r w:rsidR="0007791D">
        <w:rPr>
          <w:lang w:val="fr-FR"/>
        </w:rPr>
        <w:t>,</w:t>
      </w:r>
      <w:r w:rsidR="0007791D" w:rsidRPr="0007791D">
        <w:rPr>
          <w:lang w:val="fr-FR"/>
        </w:rPr>
        <w:t xml:space="preserve"> par-dessus une tunique de laine, ainsi qu'un casque en bronze de type « impérial-gaulois » doté d'un couvre-nuque et de protège-joues, des sandales cloutées (</w:t>
      </w:r>
      <w:r w:rsidR="0007791D" w:rsidRPr="0007791D">
        <w:rPr>
          <w:i/>
          <w:iCs/>
          <w:lang w:val="fr-FR"/>
        </w:rPr>
        <w:t>caligae</w:t>
      </w:r>
      <w:r w:rsidR="0007791D" w:rsidRPr="0007791D">
        <w:rPr>
          <w:lang w:val="fr-FR"/>
        </w:rPr>
        <w:t>) et un bouclier rectangulaire incurvé (</w:t>
      </w:r>
      <w:r w:rsidR="0007791D" w:rsidRPr="0007791D">
        <w:rPr>
          <w:i/>
          <w:iCs/>
          <w:lang w:val="fr-FR"/>
        </w:rPr>
        <w:t>scutum</w:t>
      </w:r>
      <w:r w:rsidR="0007791D" w:rsidRPr="0007791D">
        <w:rPr>
          <w:lang w:val="fr-FR"/>
        </w:rPr>
        <w:t>) en contreplaqué stratifié, recouvert de cuir et bordé de bronze. Il était armé de deux lourds javelots (</w:t>
      </w:r>
      <w:r w:rsidR="0007791D" w:rsidRPr="0055687B">
        <w:rPr>
          <w:i/>
          <w:iCs/>
          <w:lang w:val="fr-FR"/>
        </w:rPr>
        <w:t>pila</w:t>
      </w:r>
      <w:r w:rsidR="0007791D" w:rsidRPr="0007791D">
        <w:rPr>
          <w:lang w:val="fr-FR"/>
        </w:rPr>
        <w:t>) et d'une épée courte d'estoc (</w:t>
      </w:r>
      <w:r w:rsidR="0007791D" w:rsidRPr="0055687B">
        <w:rPr>
          <w:i/>
          <w:iCs/>
          <w:lang w:val="fr-FR"/>
        </w:rPr>
        <w:t>gladius</w:t>
      </w:r>
      <w:r w:rsidR="0007791D" w:rsidRPr="0007791D">
        <w:rPr>
          <w:lang w:val="fr-FR"/>
        </w:rPr>
        <w:t xml:space="preserve">), redoutable dans la mêlée du corps à corps. Durant les guerres daciques, l'empereur Trajan ordonna de renforcer les protections de bras et les crêtes des casques de ses légionnaires par des plaques de fer supplémentaires afin de mieux parer les coups de </w:t>
      </w:r>
      <w:r w:rsidR="0007791D" w:rsidRPr="0055687B">
        <w:rPr>
          <w:i/>
          <w:iCs/>
          <w:lang w:val="fr-FR"/>
        </w:rPr>
        <w:t>falx</w:t>
      </w:r>
      <w:r w:rsidR="0007791D" w:rsidRPr="0007791D">
        <w:rPr>
          <w:lang w:val="fr-FR"/>
        </w:rPr>
        <w:t xml:space="preserve"> dacique, une adaptation tactique unique en son genre.</w:t>
      </w:r>
    </w:p>
    <w:p w14:paraId="50EBCFFE" w14:textId="49238962" w:rsidR="00CD4DC7" w:rsidRPr="0007791D" w:rsidRDefault="0007791D" w:rsidP="0007791D">
      <w:pPr>
        <w:rPr>
          <w:lang w:val="fr-FR"/>
        </w:rPr>
      </w:pPr>
      <w:r w:rsidRPr="0007791D">
        <w:rPr>
          <w:lang w:val="fr-FR"/>
        </w:rPr>
        <w:t xml:space="preserve">La salve initiale de </w:t>
      </w:r>
      <w:r w:rsidRPr="00DD21C3">
        <w:rPr>
          <w:i/>
          <w:iCs/>
          <w:lang w:val="fr-FR"/>
        </w:rPr>
        <w:t>pila</w:t>
      </w:r>
      <w:r w:rsidRPr="0007791D">
        <w:rPr>
          <w:lang w:val="fr-FR"/>
        </w:rPr>
        <w:t>, tirée à courte portée (généralement quinze mètres), désorganisait les formations ennemies avant que les légionnaires ne se regroupent derrière leurs boucliers ; ils utilisaient alors l'</w:t>
      </w:r>
      <w:r w:rsidRPr="00DD21C3">
        <w:rPr>
          <w:i/>
          <w:iCs/>
          <w:lang w:val="fr-FR"/>
        </w:rPr>
        <w:t>umbo</w:t>
      </w:r>
      <w:r w:rsidRPr="0007791D">
        <w:rPr>
          <w:lang w:val="fr-FR"/>
        </w:rPr>
        <w:t xml:space="preserve"> (la bosse centrale) en bronze du </w:t>
      </w:r>
      <w:r w:rsidRPr="00DD21C3">
        <w:rPr>
          <w:i/>
          <w:iCs/>
          <w:lang w:val="fr-FR"/>
        </w:rPr>
        <w:t>scutum</w:t>
      </w:r>
      <w:r w:rsidRPr="0007791D">
        <w:rPr>
          <w:lang w:val="fr-FR"/>
        </w:rPr>
        <w:t xml:space="preserve"> pour frapper l'adversaire et le </w:t>
      </w:r>
      <w:r w:rsidRPr="00DD21C3">
        <w:rPr>
          <w:i/>
          <w:iCs/>
          <w:lang w:val="fr-FR"/>
        </w:rPr>
        <w:t>gladius</w:t>
      </w:r>
      <w:r w:rsidRPr="0007791D">
        <w:rPr>
          <w:lang w:val="fr-FR"/>
        </w:rPr>
        <w:t xml:space="preserve"> pour porter de brefs coups d'estoc par le bas, visant l'abdomen et l'aine. La rotation disciplinée des combattants de première ligne épuisés, alliée aux capacités de génie de la légion</w:t>
      </w:r>
      <w:r w:rsidR="00DD21C3">
        <w:rPr>
          <w:lang w:val="fr-FR"/>
        </w:rPr>
        <w:t>,</w:t>
      </w:r>
      <w:r w:rsidRPr="0007791D">
        <w:rPr>
          <w:lang w:val="fr-FR"/>
        </w:rPr>
        <w:t xml:space="preserve"> telle que l'édification systématique de camps fortifiés chaque soir en campagne, conférait à Rome une endurance stratégique qu'aucun adversaire de l'époque ne pouvait égaler</w:t>
      </w:r>
      <w:r w:rsidR="00CD4DC7" w:rsidRPr="0007791D">
        <w:rPr>
          <w:lang w:val="fr-FR"/>
        </w:rPr>
        <w:t>.</w:t>
      </w:r>
    </w:p>
    <w:p w14:paraId="01971241" w14:textId="45ABBD95" w:rsidR="00CD4DC7" w:rsidRDefault="00DD21C3" w:rsidP="00CD4DC7">
      <w:pPr>
        <w:pStyle w:val="Heading3"/>
      </w:pPr>
      <w:r>
        <w:t>Les</w:t>
      </w:r>
      <w:r w:rsidR="00CD4DC7" w:rsidRPr="0039056B">
        <w:t xml:space="preserve"> auxilia</w:t>
      </w:r>
      <w:r w:rsidR="001847A9">
        <w:t>ire</w:t>
      </w:r>
      <w:r w:rsidR="00CD4DC7" w:rsidRPr="0039056B">
        <w:t>s</w:t>
      </w:r>
      <w:r w:rsidR="00CD4DC7">
        <w:t xml:space="preserve"> (Rim)</w:t>
      </w:r>
    </w:p>
    <w:p w14:paraId="55D8CFA3" w14:textId="44808629" w:rsidR="001847A9" w:rsidRPr="001847A9" w:rsidRDefault="002C50CE" w:rsidP="001847A9">
      <w:pPr>
        <w:rPr>
          <w:lang w:val="fr-FR"/>
        </w:rPr>
      </w:pPr>
      <w:r>
        <w:rPr>
          <w:noProof/>
        </w:rPr>
        <w:drawing>
          <wp:anchor distT="0" distB="0" distL="114300" distR="114300" simplePos="0" relativeHeight="251665408" behindDoc="1" locked="0" layoutInCell="1" allowOverlap="1" wp14:anchorId="11A7A611" wp14:editId="3C9A1142">
            <wp:simplePos x="0" y="0"/>
            <wp:positionH relativeFrom="margin">
              <wp:align>right</wp:align>
            </wp:positionH>
            <wp:positionV relativeFrom="paragraph">
              <wp:posOffset>8890</wp:posOffset>
            </wp:positionV>
            <wp:extent cx="1645920" cy="1316736"/>
            <wp:effectExtent l="0" t="0" r="0" b="0"/>
            <wp:wrapTight wrapText="bothSides">
              <wp:wrapPolygon edited="0">
                <wp:start x="0" y="0"/>
                <wp:lineTo x="0" y="21256"/>
                <wp:lineTo x="21250" y="21256"/>
                <wp:lineTo x="21250" y="0"/>
                <wp:lineTo x="0" y="0"/>
              </wp:wrapPolygon>
            </wp:wrapTight>
            <wp:docPr id="14353065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6515" name="Picture 1435306515"/>
                    <pic:cNvPicPr/>
                  </pic:nvPicPr>
                  <pic:blipFill>
                    <a:blip r:embed="rId11">
                      <a:extLst>
                        <a:ext uri="{28A0092B-C50C-407E-A947-70E740481C1C}">
                          <a14:useLocalDpi xmlns:a14="http://schemas.microsoft.com/office/drawing/2010/main" val="0"/>
                        </a:ext>
                      </a:extLst>
                    </a:blip>
                    <a:stretch>
                      <a:fillRect/>
                    </a:stretch>
                  </pic:blipFill>
                  <pic:spPr>
                    <a:xfrm>
                      <a:off x="0" y="0"/>
                      <a:ext cx="1645920" cy="1316736"/>
                    </a:xfrm>
                    <a:prstGeom prst="rect">
                      <a:avLst/>
                    </a:prstGeom>
                  </pic:spPr>
                </pic:pic>
              </a:graphicData>
            </a:graphic>
            <wp14:sizeRelH relativeFrom="margin">
              <wp14:pctWidth>0</wp14:pctWidth>
            </wp14:sizeRelH>
            <wp14:sizeRelV relativeFrom="margin">
              <wp14:pctHeight>0</wp14:pctHeight>
            </wp14:sizeRelV>
          </wp:anchor>
        </w:drawing>
      </w:r>
      <w:r w:rsidR="001847A9" w:rsidRPr="001847A9">
        <w:rPr>
          <w:lang w:val="fr-FR"/>
        </w:rPr>
        <w:t xml:space="preserve">Le fantassin auxiliaire romain </w:t>
      </w:r>
      <w:r w:rsidR="001847A9">
        <w:rPr>
          <w:lang w:val="fr-FR"/>
        </w:rPr>
        <w:t>(</w:t>
      </w:r>
      <w:r w:rsidR="001847A9" w:rsidRPr="001847A9">
        <w:rPr>
          <w:i/>
          <w:iCs/>
          <w:lang w:val="fr-FR"/>
        </w:rPr>
        <w:t>miles cohortis</w:t>
      </w:r>
      <w:r w:rsidR="001847A9" w:rsidRPr="001847A9">
        <w:rPr>
          <w:lang w:val="fr-FR"/>
        </w:rPr>
        <w:t>) constituait le complément indispensable du légionnaire lourd au sein de l'Empire, remplissant des rôles tactiques auxquels la doctrine rigide de la légion ne pouvait aisément s'adapter. Il portait une cotte de mailles (</w:t>
      </w:r>
      <w:r w:rsidR="001847A9" w:rsidRPr="001847A9">
        <w:rPr>
          <w:i/>
          <w:iCs/>
          <w:lang w:val="fr-FR"/>
        </w:rPr>
        <w:t>lorica hamata</w:t>
      </w:r>
      <w:r w:rsidR="001847A9" w:rsidRPr="001847A9">
        <w:rPr>
          <w:lang w:val="fr-FR"/>
        </w:rPr>
        <w:t>) sur une tunique de laine grossière, un casque en bronze de type Coolus ou « impérial-italique », de solides bottes en cuir ainsi qu'un bouclier ovale plat (</w:t>
      </w:r>
      <w:r w:rsidR="001847A9" w:rsidRPr="001847A9">
        <w:rPr>
          <w:i/>
          <w:iCs/>
          <w:lang w:val="fr-FR"/>
        </w:rPr>
        <w:t>clipeus</w:t>
      </w:r>
      <w:r w:rsidR="001847A9" w:rsidRPr="001847A9">
        <w:rPr>
          <w:lang w:val="fr-FR"/>
        </w:rPr>
        <w:t>). Son armement principal comprenait une longue lance d'estoc (</w:t>
      </w:r>
      <w:r w:rsidR="001847A9" w:rsidRPr="001847A9">
        <w:rPr>
          <w:i/>
          <w:iCs/>
          <w:lang w:val="fr-FR"/>
        </w:rPr>
        <w:t>hasta</w:t>
      </w:r>
      <w:r w:rsidR="001847A9" w:rsidRPr="001847A9">
        <w:rPr>
          <w:lang w:val="fr-FR"/>
        </w:rPr>
        <w:t>), une épée courte droite ou légèrement courbe et, souvent, une paire de javelots.</w:t>
      </w:r>
    </w:p>
    <w:p w14:paraId="79B9D77F" w14:textId="53EF0FD8" w:rsidR="00CD4DC7" w:rsidRPr="001847A9" w:rsidRDefault="001847A9" w:rsidP="001847A9">
      <w:pPr>
        <w:rPr>
          <w:lang w:val="fr-FR"/>
        </w:rPr>
      </w:pPr>
      <w:r w:rsidRPr="001847A9">
        <w:rPr>
          <w:lang w:val="fr-FR"/>
        </w:rPr>
        <w:lastRenderedPageBreak/>
        <w:t>Les auxiliaires étaient déployés là où les légionnaires ne l'étaient pas : ils tenaient des terrains difficiles, garnissaient des forts isolés, menaient les opérations de franchissement de cours d'eau et effectuaient des escarmouches en avant de la ligne de bataille principale. Recrutés parmi les peuples des provinces et des zones frontalières de tout l'Empire (Gaulois, Thraces, Bretons, Syriens, Ibères et Numides), ils apportaient une connaissance locale irremplaçable du terrain, du climat et des tactiques de combat de l'ennemi. Organisés en cohortes de 480 ou 800 hommes, ils constituaient la majeure partie des effectifs des armées de frontière romaines</w:t>
      </w:r>
      <w:r w:rsidR="00DE7D3A">
        <w:rPr>
          <w:lang w:val="fr-FR"/>
        </w:rPr>
        <w:t>,</w:t>
      </w:r>
      <w:r w:rsidRPr="001847A9">
        <w:rPr>
          <w:lang w:val="fr-FR"/>
        </w:rPr>
        <w:t xml:space="preserve"> surpassant en nombre les légionnaires dans un rapport de deux ou trois pour un au IIe siècle</w:t>
      </w:r>
      <w:r w:rsidR="00DE7D3A">
        <w:rPr>
          <w:lang w:val="fr-FR"/>
        </w:rPr>
        <w:t>,</w:t>
      </w:r>
      <w:r w:rsidRPr="001847A9">
        <w:rPr>
          <w:lang w:val="fr-FR"/>
        </w:rPr>
        <w:t xml:space="preserve"> et supportaient la lourde charge quotidienne de la défense des frontières impériales</w:t>
      </w:r>
      <w:r w:rsidR="00CD4DC7" w:rsidRPr="001847A9">
        <w:rPr>
          <w:lang w:val="fr-FR"/>
        </w:rPr>
        <w:t>.</w:t>
      </w:r>
    </w:p>
    <w:p w14:paraId="698D1344" w14:textId="5DD8840B" w:rsidR="00CD4DC7" w:rsidRDefault="00CE449D" w:rsidP="00CD4DC7">
      <w:pPr>
        <w:pStyle w:val="Heading3"/>
      </w:pPr>
      <w:r>
        <w:t>Les</w:t>
      </w:r>
      <w:r w:rsidR="00CD4DC7">
        <w:t xml:space="preserve"> archers (Ria)</w:t>
      </w:r>
    </w:p>
    <w:p w14:paraId="3229C273" w14:textId="7C1DD8FD" w:rsidR="004D2E6C" w:rsidRPr="004D2E6C" w:rsidRDefault="00976E18" w:rsidP="004D2E6C">
      <w:pPr>
        <w:rPr>
          <w:lang w:val="fr-FR"/>
        </w:rPr>
      </w:pPr>
      <w:r>
        <w:rPr>
          <w:noProof/>
        </w:rPr>
        <w:drawing>
          <wp:anchor distT="0" distB="0" distL="114300" distR="114300" simplePos="0" relativeHeight="251667456" behindDoc="1" locked="0" layoutInCell="1" allowOverlap="1" wp14:anchorId="201A4EC9" wp14:editId="00E9021A">
            <wp:simplePos x="0" y="0"/>
            <wp:positionH relativeFrom="margin">
              <wp:align>right</wp:align>
            </wp:positionH>
            <wp:positionV relativeFrom="paragraph">
              <wp:posOffset>8890</wp:posOffset>
            </wp:positionV>
            <wp:extent cx="1479550" cy="1447800"/>
            <wp:effectExtent l="0" t="0" r="6350" b="0"/>
            <wp:wrapTight wrapText="bothSides">
              <wp:wrapPolygon edited="0">
                <wp:start x="0" y="0"/>
                <wp:lineTo x="0" y="21316"/>
                <wp:lineTo x="21415" y="21316"/>
                <wp:lineTo x="21415" y="0"/>
                <wp:lineTo x="0" y="0"/>
              </wp:wrapPolygon>
            </wp:wrapTight>
            <wp:docPr id="6361372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137262" name="Picture 63613726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79550" cy="1447800"/>
                    </a:xfrm>
                    <a:prstGeom prst="rect">
                      <a:avLst/>
                    </a:prstGeom>
                  </pic:spPr>
                </pic:pic>
              </a:graphicData>
            </a:graphic>
            <wp14:sizeRelH relativeFrom="margin">
              <wp14:pctWidth>0</wp14:pctWidth>
            </wp14:sizeRelH>
            <wp14:sizeRelV relativeFrom="margin">
              <wp14:pctHeight>0</wp14:pctHeight>
            </wp14:sizeRelV>
          </wp:anchor>
        </w:drawing>
      </w:r>
      <w:r w:rsidR="004D2E6C" w:rsidRPr="004D2E6C">
        <w:rPr>
          <w:lang w:val="fr-FR"/>
        </w:rPr>
        <w:t>L'archer auxiliaire romain (</w:t>
      </w:r>
      <w:r w:rsidR="004D2E6C" w:rsidRPr="004D2E6C">
        <w:rPr>
          <w:i/>
          <w:iCs/>
          <w:lang w:val="fr-FR"/>
        </w:rPr>
        <w:t>arcarius</w:t>
      </w:r>
      <w:r w:rsidR="004D2E6C" w:rsidRPr="004D2E6C">
        <w:rPr>
          <w:lang w:val="fr-FR"/>
        </w:rPr>
        <w:t xml:space="preserve"> ou </w:t>
      </w:r>
      <w:r w:rsidR="004D2E6C" w:rsidRPr="004D2E6C">
        <w:rPr>
          <w:i/>
          <w:iCs/>
          <w:lang w:val="fr-FR"/>
        </w:rPr>
        <w:t>sagittarius</w:t>
      </w:r>
      <w:r w:rsidR="004D2E6C" w:rsidRPr="004D2E6C">
        <w:rPr>
          <w:lang w:val="fr-FR"/>
        </w:rPr>
        <w:t>) était très majoritairement recruté dans les provinces orientales</w:t>
      </w:r>
      <w:r w:rsidR="004D2E6C">
        <w:rPr>
          <w:lang w:val="fr-FR"/>
        </w:rPr>
        <w:t>,</w:t>
      </w:r>
      <w:r w:rsidR="004D2E6C" w:rsidRPr="004D2E6C">
        <w:rPr>
          <w:lang w:val="fr-FR"/>
        </w:rPr>
        <w:t xml:space="preserve"> principalement la Syrie, la Judée, la Commagène et Palmyre, où le tir à l'arc constituait une tradition culturelle transmise de génération en génération. Il portait un casque de type oriental, conique ou à calotte bombée, une cotte de mailles ou une armure d'écailles, ainsi qu'une longue tunique orientale ceinturée à la taille et un pantalon ample ; il conservait ainsi largement sa tenue d'origine au sein de l'armée romaine. Dépourvu de grand bouclier, il misait avant tout sur sa mobilité et sa portée de tir. Son arme de prédilection était le puissant arc composite oriental</w:t>
      </w:r>
      <w:r w:rsidR="004D2E6C">
        <w:rPr>
          <w:lang w:val="fr-FR"/>
        </w:rPr>
        <w:t xml:space="preserve">, </w:t>
      </w:r>
      <w:r w:rsidR="004D2E6C" w:rsidRPr="004D2E6C">
        <w:rPr>
          <w:lang w:val="fr-FR"/>
        </w:rPr>
        <w:t>fabriqué à partir de corne, de tendons et de bois assemblés à chaud, capable de décocher des volées précises jusqu'à 150 mètres et de percer les armures à plus courte distance ; il disposait également d'une épée courte pour le combat rapproché.</w:t>
      </w:r>
    </w:p>
    <w:p w14:paraId="13AA1D72" w14:textId="5C987118" w:rsidR="00CD4DC7" w:rsidRPr="004D2E6C" w:rsidRDefault="004D2E6C" w:rsidP="004D2E6C">
      <w:pPr>
        <w:rPr>
          <w:lang w:val="fr-FR"/>
        </w:rPr>
      </w:pPr>
      <w:r w:rsidRPr="004D2E6C">
        <w:rPr>
          <w:lang w:val="fr-FR"/>
        </w:rPr>
        <w:t>Les cohortes d'archers auxiliaires (</w:t>
      </w:r>
      <w:r w:rsidRPr="00C27003">
        <w:rPr>
          <w:i/>
          <w:iCs/>
          <w:lang w:val="fr-FR"/>
        </w:rPr>
        <w:t>cohortes sagittariorum</w:t>
      </w:r>
      <w:r w:rsidRPr="004D2E6C">
        <w:rPr>
          <w:lang w:val="fr-FR"/>
        </w:rPr>
        <w:t>) étaient déployées sur les flancs et les hauteurs ; elles délivraient des tirs de volée massifs pour neutraliser les formations ennemies avant l'assaut des légionnaires, briser les charges de cavalerie et punir toute tentative de poursuite des troupes romaines en repli. Organisées en cohortes de 480 hommes, ces unités étaient indispensables sur les frontières orientales face aux archers à cheval parthes, leur permettant de répondre arc composite contre arc composite ; elles étaient tout aussi précieuses sur les théâtres d'opérations occidentaux, du mur d'Hadrien jusqu'au Danube, où leur portée offrait aux commandants romains une capacité d'engagement à distance qu'aucune autre unité ne pouvait égaler</w:t>
      </w:r>
      <w:r w:rsidR="00CD4DC7" w:rsidRPr="004D2E6C">
        <w:rPr>
          <w:lang w:val="fr-FR"/>
        </w:rPr>
        <w:t>.</w:t>
      </w:r>
    </w:p>
    <w:p w14:paraId="00384FA5" w14:textId="497181D8" w:rsidR="00CD4DC7" w:rsidRPr="00BB0658" w:rsidRDefault="00F07E62" w:rsidP="00CD4DC7">
      <w:pPr>
        <w:pStyle w:val="Heading3"/>
      </w:pPr>
      <w:r>
        <w:t>Le muletier</w:t>
      </w:r>
      <w:r w:rsidR="00CD4DC7">
        <w:t xml:space="preserve"> (Ric)</w:t>
      </w:r>
    </w:p>
    <w:p w14:paraId="0B542D62" w14:textId="6688A4A3" w:rsidR="00CD4DC7" w:rsidRPr="00A96D85" w:rsidRDefault="00A0211C" w:rsidP="00CD4DC7">
      <w:pPr>
        <w:rPr>
          <w:lang w:val="fr-FR"/>
        </w:rPr>
      </w:pPr>
      <w:r>
        <w:rPr>
          <w:noProof/>
        </w:rPr>
        <w:drawing>
          <wp:anchor distT="0" distB="0" distL="114300" distR="114300" simplePos="0" relativeHeight="251669504" behindDoc="1" locked="0" layoutInCell="1" allowOverlap="1" wp14:anchorId="2320ECF7" wp14:editId="497F018B">
            <wp:simplePos x="0" y="0"/>
            <wp:positionH relativeFrom="margin">
              <wp:align>right</wp:align>
            </wp:positionH>
            <wp:positionV relativeFrom="paragraph">
              <wp:posOffset>8890</wp:posOffset>
            </wp:positionV>
            <wp:extent cx="1485900" cy="1316990"/>
            <wp:effectExtent l="0" t="0" r="0" b="0"/>
            <wp:wrapTight wrapText="bothSides">
              <wp:wrapPolygon edited="0">
                <wp:start x="0" y="0"/>
                <wp:lineTo x="0" y="21246"/>
                <wp:lineTo x="21323" y="21246"/>
                <wp:lineTo x="21323" y="0"/>
                <wp:lineTo x="0" y="0"/>
              </wp:wrapPolygon>
            </wp:wrapTight>
            <wp:docPr id="8580971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097163" name="Picture 858097163"/>
                    <pic:cNvPicPr/>
                  </pic:nvPicPr>
                  <pic:blipFill>
                    <a:blip r:embed="rId13">
                      <a:extLst>
                        <a:ext uri="{28A0092B-C50C-407E-A947-70E740481C1C}">
                          <a14:useLocalDpi xmlns:a14="http://schemas.microsoft.com/office/drawing/2010/main" val="0"/>
                        </a:ext>
                      </a:extLst>
                    </a:blip>
                    <a:stretch>
                      <a:fillRect/>
                    </a:stretch>
                  </pic:blipFill>
                  <pic:spPr>
                    <a:xfrm>
                      <a:off x="0" y="0"/>
                      <a:ext cx="1485900" cy="1316990"/>
                    </a:xfrm>
                    <a:prstGeom prst="rect">
                      <a:avLst/>
                    </a:prstGeom>
                  </pic:spPr>
                </pic:pic>
              </a:graphicData>
            </a:graphic>
            <wp14:sizeRelH relativeFrom="margin">
              <wp14:pctWidth>0</wp14:pctWidth>
            </wp14:sizeRelH>
            <wp14:sizeRelV relativeFrom="margin">
              <wp14:pctHeight>0</wp14:pctHeight>
            </wp14:sizeRelV>
          </wp:anchor>
        </w:drawing>
      </w:r>
      <w:r w:rsidR="00A96D85" w:rsidRPr="00A96D85">
        <w:rPr>
          <w:lang w:val="fr-FR"/>
        </w:rPr>
        <w:t xml:space="preserve">Le muletier romain (le </w:t>
      </w:r>
      <w:r w:rsidR="00A96D85" w:rsidRPr="00A96D85">
        <w:rPr>
          <w:i/>
          <w:iCs/>
          <w:lang w:val="fr-FR"/>
        </w:rPr>
        <w:t>mulio</w:t>
      </w:r>
      <w:r w:rsidR="00A96D85" w:rsidRPr="00A96D85">
        <w:rPr>
          <w:lang w:val="fr-FR"/>
        </w:rPr>
        <w:t>) constituait l'épine dorsale, méconnue mais essentielle, de toute campagne légionnaire ; il assurait la progression de l'immense convoi logistique de l'armée à travers les cols de montagne, les passages de rivières et les routes militaires aux ornières profondes. Il portait la tenue simple des travailleurs romains modestes : une tunique en laine grossière (</w:t>
      </w:r>
      <w:r w:rsidR="00A96D85" w:rsidRPr="00A96D85">
        <w:rPr>
          <w:i/>
          <w:iCs/>
          <w:lang w:val="fr-FR"/>
        </w:rPr>
        <w:t>tunica</w:t>
      </w:r>
      <w:r w:rsidR="00A96D85" w:rsidRPr="00A96D85">
        <w:rPr>
          <w:lang w:val="fr-FR"/>
        </w:rPr>
        <w:t>) serrée à la taille, de solides sandales ou bottines en cuir, ainsi qu'un chapeau de feutre à larges bords (</w:t>
      </w:r>
      <w:r w:rsidR="00A96D85" w:rsidRPr="002D4B4F">
        <w:rPr>
          <w:i/>
          <w:iCs/>
          <w:lang w:val="fr-FR"/>
        </w:rPr>
        <w:t>petasus</w:t>
      </w:r>
      <w:r w:rsidR="00A96D85" w:rsidRPr="00A96D85">
        <w:rPr>
          <w:lang w:val="fr-FR"/>
        </w:rPr>
        <w:t>) pour se protéger du soleil et de la pluie. Par temps froid, il se drapait dans un manteau de laine épaisse (</w:t>
      </w:r>
      <w:r w:rsidR="00A96D85" w:rsidRPr="002D4B4F">
        <w:rPr>
          <w:i/>
          <w:iCs/>
          <w:lang w:val="fr-FR"/>
        </w:rPr>
        <w:t>sagum</w:t>
      </w:r>
      <w:r w:rsidR="00A96D85" w:rsidRPr="00A96D85">
        <w:rPr>
          <w:lang w:val="fr-FR"/>
        </w:rPr>
        <w:t>). Il ne portait sur lui qu'un aiguillon ou une baguette pour diriger les bêtes et un couteau de ceinture pour les tâches courantes. Un homme de l'ombre dont dépendait, en fin de compte, chaque victoire romaine</w:t>
      </w:r>
      <w:r w:rsidR="00CD4DC7" w:rsidRPr="00A96D85">
        <w:rPr>
          <w:lang w:val="fr-FR"/>
        </w:rPr>
        <w:t>.</w:t>
      </w:r>
    </w:p>
    <w:p w14:paraId="375DC42C" w14:textId="49C00AEB" w:rsidR="00CD4DC7" w:rsidRDefault="002D4B4F" w:rsidP="00CD4DC7">
      <w:pPr>
        <w:pStyle w:val="Heading3"/>
      </w:pPr>
      <w:r>
        <w:lastRenderedPageBreak/>
        <w:t>L’</w:t>
      </w:r>
      <w:r w:rsidR="00CD4DC7">
        <w:t>Onag</w:t>
      </w:r>
      <w:r>
        <w:t>re</w:t>
      </w:r>
    </w:p>
    <w:p w14:paraId="233B9D59" w14:textId="05C4FF33" w:rsidR="00CD4DC7" w:rsidRPr="00374AF4" w:rsidRDefault="00BF7B93" w:rsidP="00CD4DC7">
      <w:pPr>
        <w:rPr>
          <w:lang w:val="fr-FR"/>
        </w:rPr>
      </w:pPr>
      <w:r>
        <w:rPr>
          <w:noProof/>
        </w:rPr>
        <w:drawing>
          <wp:anchor distT="0" distB="0" distL="114300" distR="114300" simplePos="0" relativeHeight="251671552" behindDoc="1" locked="0" layoutInCell="1" allowOverlap="1" wp14:anchorId="717EFD19" wp14:editId="6D617EC5">
            <wp:simplePos x="0" y="0"/>
            <wp:positionH relativeFrom="margin">
              <wp:align>right</wp:align>
            </wp:positionH>
            <wp:positionV relativeFrom="paragraph">
              <wp:posOffset>8890</wp:posOffset>
            </wp:positionV>
            <wp:extent cx="2057400" cy="1275080"/>
            <wp:effectExtent l="0" t="0" r="0" b="1270"/>
            <wp:wrapTight wrapText="bothSides">
              <wp:wrapPolygon edited="0">
                <wp:start x="0" y="0"/>
                <wp:lineTo x="0" y="21299"/>
                <wp:lineTo x="21400" y="21299"/>
                <wp:lineTo x="21400" y="0"/>
                <wp:lineTo x="0" y="0"/>
              </wp:wrapPolygon>
            </wp:wrapTight>
            <wp:docPr id="6486270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27040" name="Picture 648627040"/>
                    <pic:cNvPicPr/>
                  </pic:nvPicPr>
                  <pic:blipFill>
                    <a:blip r:embed="rId14">
                      <a:extLst>
                        <a:ext uri="{28A0092B-C50C-407E-A947-70E740481C1C}">
                          <a14:useLocalDpi xmlns:a14="http://schemas.microsoft.com/office/drawing/2010/main" val="0"/>
                        </a:ext>
                      </a:extLst>
                    </a:blip>
                    <a:stretch>
                      <a:fillRect/>
                    </a:stretch>
                  </pic:blipFill>
                  <pic:spPr>
                    <a:xfrm>
                      <a:off x="0" y="0"/>
                      <a:ext cx="2057400" cy="1275080"/>
                    </a:xfrm>
                    <a:prstGeom prst="rect">
                      <a:avLst/>
                    </a:prstGeom>
                  </pic:spPr>
                </pic:pic>
              </a:graphicData>
            </a:graphic>
            <wp14:sizeRelH relativeFrom="margin">
              <wp14:pctWidth>0</wp14:pctWidth>
            </wp14:sizeRelH>
            <wp14:sizeRelV relativeFrom="margin">
              <wp14:pctHeight>0</wp14:pctHeight>
            </wp14:sizeRelV>
          </wp:anchor>
        </w:drawing>
      </w:r>
      <w:r w:rsidR="00374AF4" w:rsidRPr="00374AF4">
        <w:rPr>
          <w:lang w:val="fr-FR"/>
        </w:rPr>
        <w:t>L'onagre, nommé ainsi en référence à l'âne sauvage dont il imitait la ruade, était la catapulte à torsion à bras unique emblématique de Rome, véritable bête de somme de la poliorcétique impériale. Un faisceau de nerfs, de crins ou de cuir brut torsadés fournissait l'énergie de torsion, propulsant avec une force prodigieuse un bras de projection unique en bois vers le haut, jusqu'à ce qu'il heurte une traverse de butée rembourrée. Monté sur un lourd châssis en bois à quatre roues, l'engin projetait des boulets de pierre de cinq à vingt kilogrammes selon une trajectoire en cloche contre les murailles, les tours et les formations ennemies compactes, atteignant une portée allant jusqu'à 400 mètres. Servi par une équipe de huit à dix légionnaires du génie, il pouvait être assemblé assez rapidement à partir d'éléments prédécoupés transportés dans le convoi de la légion : un instrument standardisé et redoutable, témoin de la suprématie romaine en matière d'ingénierie</w:t>
      </w:r>
      <w:r w:rsidR="00CD4DC7" w:rsidRPr="00374AF4">
        <w:rPr>
          <w:lang w:val="fr-FR"/>
        </w:rPr>
        <w:t>.</w:t>
      </w:r>
    </w:p>
    <w:p w14:paraId="411033ED" w14:textId="0E6717F8" w:rsidR="00CD4DC7" w:rsidRDefault="009C5C78" w:rsidP="00CD4DC7">
      <w:pPr>
        <w:pStyle w:val="Heading2"/>
        <w:rPr>
          <w:lang w:val="fr-FR"/>
        </w:rPr>
      </w:pPr>
      <w:r>
        <w:rPr>
          <w:lang w:val="fr-FR"/>
        </w:rPr>
        <w:t>Les Bretons</w:t>
      </w:r>
    </w:p>
    <w:p w14:paraId="25A4E7B6" w14:textId="47817962" w:rsidR="00CD4DC7" w:rsidRPr="00E06711" w:rsidRDefault="000557D8" w:rsidP="00CD4DC7">
      <w:pPr>
        <w:rPr>
          <w:lang w:val="fr-FR"/>
        </w:rPr>
      </w:pPr>
      <w:r>
        <w:rPr>
          <w:noProof/>
        </w:rPr>
        <w:drawing>
          <wp:anchor distT="0" distB="0" distL="114300" distR="114300" simplePos="0" relativeHeight="251673600" behindDoc="1" locked="0" layoutInCell="1" allowOverlap="1" wp14:anchorId="4D1A7A8B" wp14:editId="4C9386E6">
            <wp:simplePos x="0" y="0"/>
            <wp:positionH relativeFrom="margin">
              <wp:align>right</wp:align>
            </wp:positionH>
            <wp:positionV relativeFrom="paragraph">
              <wp:posOffset>18415</wp:posOffset>
            </wp:positionV>
            <wp:extent cx="1743075" cy="1504950"/>
            <wp:effectExtent l="0" t="0" r="9525" b="0"/>
            <wp:wrapTight wrapText="bothSides">
              <wp:wrapPolygon edited="0">
                <wp:start x="0" y="0"/>
                <wp:lineTo x="0" y="21327"/>
                <wp:lineTo x="21482" y="21327"/>
                <wp:lineTo x="21482" y="0"/>
                <wp:lineTo x="0" y="0"/>
              </wp:wrapPolygon>
            </wp:wrapTight>
            <wp:docPr id="17041348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134811" name="Picture 1704134811"/>
                    <pic:cNvPicPr/>
                  </pic:nvPicPr>
                  <pic:blipFill>
                    <a:blip r:embed="rId15">
                      <a:extLst>
                        <a:ext uri="{28A0092B-C50C-407E-A947-70E740481C1C}">
                          <a14:useLocalDpi xmlns:a14="http://schemas.microsoft.com/office/drawing/2010/main" val="0"/>
                        </a:ext>
                      </a:extLst>
                    </a:blip>
                    <a:stretch>
                      <a:fillRect/>
                    </a:stretch>
                  </pic:blipFill>
                  <pic:spPr>
                    <a:xfrm>
                      <a:off x="0" y="0"/>
                      <a:ext cx="1743075" cy="1504950"/>
                    </a:xfrm>
                    <a:prstGeom prst="rect">
                      <a:avLst/>
                    </a:prstGeom>
                  </pic:spPr>
                </pic:pic>
              </a:graphicData>
            </a:graphic>
            <wp14:sizeRelH relativeFrom="margin">
              <wp14:pctWidth>0</wp14:pctWidth>
            </wp14:sizeRelH>
            <wp14:sizeRelV relativeFrom="margin">
              <wp14:pctHeight>0</wp14:pctHeight>
            </wp14:sizeRelV>
          </wp:anchor>
        </w:drawing>
      </w:r>
      <w:r w:rsidR="00E06711" w:rsidRPr="00E06711">
        <w:rPr>
          <w:lang w:val="fr-FR"/>
        </w:rPr>
        <w:t>Ils ne différaient en rien de ceux déjà décrits dans OPPIDUM. Nous avons inclus la figure de Boudicca, représentée avec une cotte de mailles, une lance et un bouclier davantage d'apparat que de combat. Il est très peu probable qu'elle ait mené les troupes en première ligne en s'exposant au danger, mais nous l'avons tout de même ajoutée pour apporter un peu de couleur aux scénarios. Nous avons également ajouté quatre chars supplémentaires afin d'obtenir des affrontements plus impressionnants avec les soldats romains</w:t>
      </w:r>
      <w:r w:rsidR="00CD4DC7" w:rsidRPr="00E06711">
        <w:rPr>
          <w:lang w:val="fr-FR"/>
        </w:rPr>
        <w:t xml:space="preserve">. </w:t>
      </w:r>
    </w:p>
    <w:p w14:paraId="4259F813" w14:textId="5B33D1FC" w:rsidR="00CD4DC7" w:rsidRDefault="00DE34A6" w:rsidP="00CD4DC7">
      <w:pPr>
        <w:pStyle w:val="Heading2"/>
        <w:rPr>
          <w:lang w:val="fr-FR"/>
        </w:rPr>
      </w:pPr>
      <w:r>
        <w:rPr>
          <w:lang w:val="fr-FR"/>
        </w:rPr>
        <w:t>Les Parthes</w:t>
      </w:r>
    </w:p>
    <w:p w14:paraId="108ECB45" w14:textId="5887C1FC" w:rsidR="00CD4DC7" w:rsidRDefault="00DE34A6" w:rsidP="00CD4DC7">
      <w:pPr>
        <w:pStyle w:val="Heading3"/>
      </w:pPr>
      <w:r>
        <w:t>Les</w:t>
      </w:r>
      <w:r w:rsidR="00CD4DC7">
        <w:t xml:space="preserve"> cataphract</w:t>
      </w:r>
      <w:r>
        <w:t>e</w:t>
      </w:r>
      <w:r w:rsidR="00CD4DC7">
        <w:t>s (Pch)</w:t>
      </w:r>
    </w:p>
    <w:p w14:paraId="484A7A4B" w14:textId="1DB5387F" w:rsidR="008F5213" w:rsidRPr="008F5213" w:rsidRDefault="00564E25" w:rsidP="008F5213">
      <w:pPr>
        <w:rPr>
          <w:lang w:val="fr-FR"/>
        </w:rPr>
      </w:pPr>
      <w:r>
        <w:rPr>
          <w:noProof/>
        </w:rPr>
        <w:drawing>
          <wp:anchor distT="0" distB="0" distL="114300" distR="114300" simplePos="0" relativeHeight="251675648" behindDoc="1" locked="0" layoutInCell="1" allowOverlap="1" wp14:anchorId="4C451808" wp14:editId="7D6F5AE2">
            <wp:simplePos x="0" y="0"/>
            <wp:positionH relativeFrom="margin">
              <wp:align>right</wp:align>
            </wp:positionH>
            <wp:positionV relativeFrom="paragraph">
              <wp:posOffset>8890</wp:posOffset>
            </wp:positionV>
            <wp:extent cx="1631315" cy="1609725"/>
            <wp:effectExtent l="0" t="0" r="6985" b="9525"/>
            <wp:wrapTight wrapText="bothSides">
              <wp:wrapPolygon edited="0">
                <wp:start x="0" y="0"/>
                <wp:lineTo x="0" y="21472"/>
                <wp:lineTo x="21440" y="21472"/>
                <wp:lineTo x="21440" y="0"/>
                <wp:lineTo x="0" y="0"/>
              </wp:wrapPolygon>
            </wp:wrapTight>
            <wp:docPr id="13074786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478658" name="Picture 1307478658"/>
                    <pic:cNvPicPr/>
                  </pic:nvPicPr>
                  <pic:blipFill>
                    <a:blip r:embed="rId16">
                      <a:extLst>
                        <a:ext uri="{28A0092B-C50C-407E-A947-70E740481C1C}">
                          <a14:useLocalDpi xmlns:a14="http://schemas.microsoft.com/office/drawing/2010/main" val="0"/>
                        </a:ext>
                      </a:extLst>
                    </a:blip>
                    <a:stretch>
                      <a:fillRect/>
                    </a:stretch>
                  </pic:blipFill>
                  <pic:spPr>
                    <a:xfrm>
                      <a:off x="0" y="0"/>
                      <a:ext cx="1631315" cy="1609725"/>
                    </a:xfrm>
                    <a:prstGeom prst="rect">
                      <a:avLst/>
                    </a:prstGeom>
                  </pic:spPr>
                </pic:pic>
              </a:graphicData>
            </a:graphic>
            <wp14:sizeRelH relativeFrom="margin">
              <wp14:pctWidth>0</wp14:pctWidth>
            </wp14:sizeRelH>
            <wp14:sizeRelV relativeFrom="margin">
              <wp14:pctHeight>0</wp14:pctHeight>
            </wp14:sizeRelV>
          </wp:anchor>
        </w:drawing>
      </w:r>
      <w:r w:rsidR="008F5213" w:rsidRPr="008F5213">
        <w:rPr>
          <w:lang w:val="fr-FR"/>
        </w:rPr>
        <w:t xml:space="preserve">Le cataphracte parthe était le cavalier lourd le plus redoutable de l'Antiquité. Cavalier et monture étaient entièrement protégés par une armure à écailles articulées de bronze ou de fer, portée sur une sous-couche de lin ou de cuir rembourré. Le guerrier arborait un casque à cimier, des manches recouvertes d'écailles et des jambières renforcées de fer. Son arme principale était le </w:t>
      </w:r>
      <w:r w:rsidR="008F5213" w:rsidRPr="008F5213">
        <w:rPr>
          <w:i/>
          <w:iCs/>
          <w:lang w:val="fr-FR"/>
        </w:rPr>
        <w:t>kontos</w:t>
      </w:r>
      <w:r w:rsidR="008F5213" w:rsidRPr="008F5213">
        <w:rPr>
          <w:lang w:val="fr-FR"/>
        </w:rPr>
        <w:t>, une lance massive pouvant atteindre quatre mètres de long, maniée à deux mains et capable d'embrocher deux légionnaires simultanément. Une masse d'armes et une épée courte complétaient son arsenal.</w:t>
      </w:r>
    </w:p>
    <w:p w14:paraId="3F4EE74A" w14:textId="5DCC96A1" w:rsidR="00CD4DC7" w:rsidRPr="008F5213" w:rsidRDefault="008F5213" w:rsidP="008F5213">
      <w:pPr>
        <w:rPr>
          <w:lang w:val="fr-FR"/>
        </w:rPr>
      </w:pPr>
      <w:r w:rsidRPr="008F5213">
        <w:rPr>
          <w:lang w:val="fr-FR"/>
        </w:rPr>
        <w:t>Les cataphractes opéraient en formations serrées en coin, tirant parti des terrains dégagés pour briser les lignes d'infanterie romaine grâce à une charge au galop fracassant. À Carrhes (53 av. J.-C.) puis sous le règne de Trajan, ils protégeaient les archers montés parthes en encaissant les contre-charges romaines, tandis que ces archers légèrement équipés faisaient pleuvoir une grêle de flèches dévastatrice sur les flancs : une tactique interarmes à laquelle Rome ne trouva jamais de parade efficace</w:t>
      </w:r>
      <w:r w:rsidR="00CD4DC7" w:rsidRPr="008F5213">
        <w:rPr>
          <w:lang w:val="fr-FR"/>
        </w:rPr>
        <w:t>.</w:t>
      </w:r>
    </w:p>
    <w:p w14:paraId="510BD2BB" w14:textId="5633DDB1" w:rsidR="00CD4DC7" w:rsidRDefault="007D7E37" w:rsidP="00CD4DC7">
      <w:pPr>
        <w:pStyle w:val="Heading3"/>
      </w:pPr>
      <w:r>
        <w:lastRenderedPageBreak/>
        <w:t>Les archers à cheval</w:t>
      </w:r>
      <w:r w:rsidR="00CD4DC7">
        <w:t xml:space="preserve"> (Pca)</w:t>
      </w:r>
    </w:p>
    <w:p w14:paraId="26B05E3B" w14:textId="1ECCC431" w:rsidR="00CF4004" w:rsidRPr="00CF4004" w:rsidRDefault="00546BD7" w:rsidP="00CF4004">
      <w:pPr>
        <w:rPr>
          <w:lang w:val="fr-FR"/>
        </w:rPr>
      </w:pPr>
      <w:r>
        <w:rPr>
          <w:noProof/>
        </w:rPr>
        <w:drawing>
          <wp:anchor distT="0" distB="0" distL="114300" distR="114300" simplePos="0" relativeHeight="251677696" behindDoc="1" locked="0" layoutInCell="1" allowOverlap="1" wp14:anchorId="52B57E56" wp14:editId="5FC223E9">
            <wp:simplePos x="0" y="0"/>
            <wp:positionH relativeFrom="margin">
              <wp:align>right</wp:align>
            </wp:positionH>
            <wp:positionV relativeFrom="paragraph">
              <wp:posOffset>8890</wp:posOffset>
            </wp:positionV>
            <wp:extent cx="1616710" cy="1552575"/>
            <wp:effectExtent l="0" t="0" r="2540" b="9525"/>
            <wp:wrapTight wrapText="bothSides">
              <wp:wrapPolygon edited="0">
                <wp:start x="0" y="0"/>
                <wp:lineTo x="0" y="21467"/>
                <wp:lineTo x="21379" y="21467"/>
                <wp:lineTo x="21379" y="0"/>
                <wp:lineTo x="0" y="0"/>
              </wp:wrapPolygon>
            </wp:wrapTight>
            <wp:docPr id="8009525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952566" name="Picture 800952566"/>
                    <pic:cNvPicPr/>
                  </pic:nvPicPr>
                  <pic:blipFill>
                    <a:blip r:embed="rId17">
                      <a:extLst>
                        <a:ext uri="{28A0092B-C50C-407E-A947-70E740481C1C}">
                          <a14:useLocalDpi xmlns:a14="http://schemas.microsoft.com/office/drawing/2010/main" val="0"/>
                        </a:ext>
                      </a:extLst>
                    </a:blip>
                    <a:stretch>
                      <a:fillRect/>
                    </a:stretch>
                  </pic:blipFill>
                  <pic:spPr>
                    <a:xfrm>
                      <a:off x="0" y="0"/>
                      <a:ext cx="1616710" cy="1552575"/>
                    </a:xfrm>
                    <a:prstGeom prst="rect">
                      <a:avLst/>
                    </a:prstGeom>
                  </pic:spPr>
                </pic:pic>
              </a:graphicData>
            </a:graphic>
            <wp14:sizeRelH relativeFrom="margin">
              <wp14:pctWidth>0</wp14:pctWidth>
            </wp14:sizeRelH>
            <wp14:sizeRelV relativeFrom="margin">
              <wp14:pctHeight>0</wp14:pctHeight>
            </wp14:sizeRelV>
          </wp:anchor>
        </w:drawing>
      </w:r>
      <w:r w:rsidR="00CF4004" w:rsidRPr="00CF4004">
        <w:rPr>
          <w:lang w:val="fr-FR"/>
        </w:rPr>
        <w:t xml:space="preserve">L’archer à cheval parthe était le guerrier par excellence du monde antique. Légèrement équipé pour une mobilité maximale, il portait une simple tunique, un pantalon ample rentré dans des bottes en cuir souple et une casquette conique en feutre ou en cuir. Son cheval ne portait aucune armure. Ses armes étaient le puissant arc composite parthe, construit à partir de corne, de tendon et de bois, capable de pénétrer la </w:t>
      </w:r>
      <w:r w:rsidR="00CF4004" w:rsidRPr="00CF4004">
        <w:rPr>
          <w:i/>
          <w:iCs/>
          <w:lang w:val="fr-FR"/>
        </w:rPr>
        <w:t>Lorica Segmentata</w:t>
      </w:r>
      <w:r w:rsidR="00CF4004" w:rsidRPr="00CF4004">
        <w:rPr>
          <w:lang w:val="fr-FR"/>
        </w:rPr>
        <w:t xml:space="preserve"> romaine à courte distance, et une épée courte ou un poignard pour les combats rapprochés désespérés.</w:t>
      </w:r>
    </w:p>
    <w:p w14:paraId="14610340" w14:textId="63AEA2FA" w:rsidR="00CD4DC7" w:rsidRPr="00CF4004" w:rsidRDefault="00CF4004" w:rsidP="00CF4004">
      <w:pPr>
        <w:rPr>
          <w:lang w:val="fr-FR"/>
        </w:rPr>
      </w:pPr>
      <w:r w:rsidRPr="00CF4004">
        <w:rPr>
          <w:lang w:val="fr-FR"/>
        </w:rPr>
        <w:t xml:space="preserve">Ces cavaliers opéraient en essaims fluides et circulaires, sans jamais se rapprocher de la mêlée. Leur manœuvre emblématique, le célèbre « tir parthe », les a vu feindre de battre en retraite au grand galop avant de se </w:t>
      </w:r>
      <w:r w:rsidR="004556E7">
        <w:rPr>
          <w:lang w:val="fr-FR"/>
        </w:rPr>
        <w:t>retourner</w:t>
      </w:r>
      <w:r w:rsidRPr="00CF4004">
        <w:rPr>
          <w:lang w:val="fr-FR"/>
        </w:rPr>
        <w:t xml:space="preserve"> en selle pour lancer des volées précises vers l'arrière, déconcertant les légionnaires qui les poursuivaient</w:t>
      </w:r>
      <w:r w:rsidR="00CD4DC7" w:rsidRPr="00CF4004">
        <w:rPr>
          <w:lang w:val="fr-FR"/>
        </w:rPr>
        <w:t xml:space="preserve">. </w:t>
      </w:r>
    </w:p>
    <w:p w14:paraId="68C675E1" w14:textId="462986A8" w:rsidR="00CD4DC7" w:rsidRDefault="006B50C2" w:rsidP="00CD4DC7">
      <w:pPr>
        <w:pStyle w:val="Heading2"/>
      </w:pPr>
      <w:r>
        <w:t>Les Daces</w:t>
      </w:r>
    </w:p>
    <w:p w14:paraId="20A52B75" w14:textId="2EE45A28" w:rsidR="00CD4DC7" w:rsidRDefault="006B50C2" w:rsidP="00CD4DC7">
      <w:pPr>
        <w:pStyle w:val="Heading3"/>
        <w:rPr>
          <w:lang w:val="en-US"/>
        </w:rPr>
      </w:pPr>
      <w:r>
        <w:rPr>
          <w:lang w:val="en-US"/>
        </w:rPr>
        <w:t>La cavalerie</w:t>
      </w:r>
      <w:r w:rsidR="00CD4DC7">
        <w:rPr>
          <w:lang w:val="en-US"/>
        </w:rPr>
        <w:t xml:space="preserve"> (Dcm)</w:t>
      </w:r>
    </w:p>
    <w:p w14:paraId="432F9DD2" w14:textId="09637BC3" w:rsidR="00372182" w:rsidRPr="00372182" w:rsidRDefault="0018420C" w:rsidP="00372182">
      <w:pPr>
        <w:rPr>
          <w:lang w:val="fr-FR"/>
        </w:rPr>
      </w:pPr>
      <w:r>
        <w:rPr>
          <w:noProof/>
        </w:rPr>
        <w:drawing>
          <wp:anchor distT="0" distB="0" distL="114300" distR="114300" simplePos="0" relativeHeight="251679744" behindDoc="1" locked="0" layoutInCell="1" allowOverlap="1" wp14:anchorId="633DE61E" wp14:editId="04476684">
            <wp:simplePos x="0" y="0"/>
            <wp:positionH relativeFrom="margin">
              <wp:align>right</wp:align>
            </wp:positionH>
            <wp:positionV relativeFrom="paragraph">
              <wp:posOffset>9525</wp:posOffset>
            </wp:positionV>
            <wp:extent cx="2040890" cy="1714500"/>
            <wp:effectExtent l="0" t="0" r="0" b="0"/>
            <wp:wrapTight wrapText="bothSides">
              <wp:wrapPolygon edited="0">
                <wp:start x="0" y="0"/>
                <wp:lineTo x="0" y="21360"/>
                <wp:lineTo x="21371" y="21360"/>
                <wp:lineTo x="21371" y="0"/>
                <wp:lineTo x="0" y="0"/>
              </wp:wrapPolygon>
            </wp:wrapTight>
            <wp:docPr id="82948236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82365" name="Picture 829482365"/>
                    <pic:cNvPicPr/>
                  </pic:nvPicPr>
                  <pic:blipFill>
                    <a:blip r:embed="rId18">
                      <a:extLst>
                        <a:ext uri="{28A0092B-C50C-407E-A947-70E740481C1C}">
                          <a14:useLocalDpi xmlns:a14="http://schemas.microsoft.com/office/drawing/2010/main" val="0"/>
                        </a:ext>
                      </a:extLst>
                    </a:blip>
                    <a:stretch>
                      <a:fillRect/>
                    </a:stretch>
                  </pic:blipFill>
                  <pic:spPr>
                    <a:xfrm>
                      <a:off x="0" y="0"/>
                      <a:ext cx="2040890" cy="1714500"/>
                    </a:xfrm>
                    <a:prstGeom prst="rect">
                      <a:avLst/>
                    </a:prstGeom>
                  </pic:spPr>
                </pic:pic>
              </a:graphicData>
            </a:graphic>
            <wp14:sizeRelH relativeFrom="margin">
              <wp14:pctWidth>0</wp14:pctWidth>
            </wp14:sizeRelH>
            <wp14:sizeRelV relativeFrom="margin">
              <wp14:pctHeight>0</wp14:pctHeight>
            </wp14:sizeRelV>
          </wp:anchor>
        </w:drawing>
      </w:r>
      <w:r w:rsidR="00372182" w:rsidRPr="00372182">
        <w:rPr>
          <w:lang w:val="fr-FR"/>
        </w:rPr>
        <w:t xml:space="preserve">Le cavalier dace était une arme de la noblesse, recruté parmi les </w:t>
      </w:r>
      <w:r w:rsidR="00372182" w:rsidRPr="00372182">
        <w:rPr>
          <w:i/>
          <w:iCs/>
          <w:lang w:val="fr-FR"/>
        </w:rPr>
        <w:t>tarabostes</w:t>
      </w:r>
      <w:r w:rsidR="00372182" w:rsidRPr="00372182">
        <w:rPr>
          <w:lang w:val="fr-FR"/>
        </w:rPr>
        <w:t xml:space="preserve"> </w:t>
      </w:r>
      <w:r w:rsidR="00372182">
        <w:rPr>
          <w:lang w:val="fr-FR"/>
        </w:rPr>
        <w:t>(</w:t>
      </w:r>
      <w:r w:rsidR="00372182" w:rsidRPr="00372182">
        <w:rPr>
          <w:lang w:val="fr-FR"/>
        </w:rPr>
        <w:t>l'aristocratie dace</w:t>
      </w:r>
      <w:r w:rsidR="00372182">
        <w:rPr>
          <w:lang w:val="fr-FR"/>
        </w:rPr>
        <w:t>)</w:t>
      </w:r>
      <w:r w:rsidR="00372182" w:rsidRPr="00372182">
        <w:rPr>
          <w:lang w:val="fr-FR"/>
        </w:rPr>
        <w:t xml:space="preserve">, les seuls à disposer des moyens nécessaires pour entretenir des chevaux et un équipement de qualité. Il portait une cuirasse d'écailles ou de mailles par-dessus une tunique et un pantalon en laine, un casque conique ou de type phrygien, ainsi que des bottes en cuir souple. Ses armes principales étaient une longue lance ou une épée courbe, la </w:t>
      </w:r>
      <w:r w:rsidR="00372182" w:rsidRPr="00816DC0">
        <w:rPr>
          <w:i/>
          <w:iCs/>
          <w:lang w:val="fr-FR"/>
        </w:rPr>
        <w:t>sica</w:t>
      </w:r>
      <w:r w:rsidR="00372182" w:rsidRPr="00372182">
        <w:rPr>
          <w:lang w:val="fr-FR"/>
        </w:rPr>
        <w:t>. Il se protégeait à l'aide d'un bouclier rond ou ovale.</w:t>
      </w:r>
    </w:p>
    <w:p w14:paraId="19E4BAC8" w14:textId="1EF533EA" w:rsidR="00CD4DC7" w:rsidRPr="00372182" w:rsidRDefault="00372182" w:rsidP="00372182">
      <w:pPr>
        <w:rPr>
          <w:lang w:val="fr-FR"/>
        </w:rPr>
      </w:pPr>
      <w:r w:rsidRPr="00372182">
        <w:rPr>
          <w:lang w:val="fr-FR"/>
        </w:rPr>
        <w:t xml:space="preserve">La cavalerie dace opérait sur les flancs du gros de l'infanterie, protégeant les guerriers armés de </w:t>
      </w:r>
      <w:r w:rsidRPr="00816DC0">
        <w:rPr>
          <w:i/>
          <w:iCs/>
          <w:lang w:val="fr-FR"/>
        </w:rPr>
        <w:t>falx</w:t>
      </w:r>
      <w:r w:rsidRPr="00372182">
        <w:rPr>
          <w:lang w:val="fr-FR"/>
        </w:rPr>
        <w:t xml:space="preserve"> contre le harcèlement de la cavalerie romaine, poursuivant les unités ennemies en déroute et menant des raids en profondeur dans les provinces romaines de Mésie et de Pannonie durant les guerres de Domitien et de Trajan. Elle opérait fréquemment de concert avec les cataphractes sarmates roxolans alliés. Ces derniers, cavaliers de choc plus lourds et plus puissants, assuraient la force de frappe décisive dont les seuls cavaliers daces étaient incapables. Il en résultait une force de cavalerie combinée qui causa de sérieuses difficultés aux légions de Trajan dans la vaste plaine de Valachie</w:t>
      </w:r>
      <w:r w:rsidR="00CD4DC7" w:rsidRPr="00372182">
        <w:rPr>
          <w:lang w:val="fr-FR"/>
        </w:rPr>
        <w:t xml:space="preserve">. </w:t>
      </w:r>
    </w:p>
    <w:p w14:paraId="76DE3BE2" w14:textId="63932065" w:rsidR="00CD4DC7" w:rsidRPr="00D368FE" w:rsidRDefault="00D368FE" w:rsidP="00CD4DC7">
      <w:pPr>
        <w:pStyle w:val="Heading3"/>
      </w:pPr>
      <w:r w:rsidRPr="00D368FE">
        <w:t>Le</w:t>
      </w:r>
      <w:r>
        <w:t>s</w:t>
      </w:r>
      <w:r w:rsidRPr="00D368FE">
        <w:t xml:space="preserve"> </w:t>
      </w:r>
      <w:r>
        <w:t>g</w:t>
      </w:r>
      <w:r w:rsidRPr="00D368FE">
        <w:t>uerrier</w:t>
      </w:r>
      <w:r>
        <w:t>s</w:t>
      </w:r>
      <w:r w:rsidRPr="00D368FE">
        <w:t xml:space="preserve"> armé</w:t>
      </w:r>
      <w:r>
        <w:t>s</w:t>
      </w:r>
      <w:r w:rsidRPr="00D368FE">
        <w:t xml:space="preserve"> d</w:t>
      </w:r>
      <w:r w:rsidR="005143EB">
        <w:t>e</w:t>
      </w:r>
      <w:r w:rsidRPr="00D368FE">
        <w:t xml:space="preserve"> </w:t>
      </w:r>
      <w:r w:rsidR="005143EB">
        <w:t>f</w:t>
      </w:r>
      <w:r w:rsidRPr="00D368FE">
        <w:t>alx</w:t>
      </w:r>
      <w:r w:rsidR="00CD4DC7" w:rsidRPr="00D368FE">
        <w:t xml:space="preserve"> (Dif)</w:t>
      </w:r>
    </w:p>
    <w:p w14:paraId="124168D5" w14:textId="1E4EC19F" w:rsidR="005143EB" w:rsidRPr="005143EB" w:rsidRDefault="00562940" w:rsidP="005143EB">
      <w:pPr>
        <w:rPr>
          <w:lang w:val="fr-FR"/>
        </w:rPr>
      </w:pPr>
      <w:r>
        <w:rPr>
          <w:noProof/>
        </w:rPr>
        <w:drawing>
          <wp:anchor distT="0" distB="0" distL="114300" distR="114300" simplePos="0" relativeHeight="251681792" behindDoc="1" locked="0" layoutInCell="1" allowOverlap="1" wp14:anchorId="1B9B0987" wp14:editId="6457606F">
            <wp:simplePos x="0" y="0"/>
            <wp:positionH relativeFrom="margin">
              <wp:align>right</wp:align>
            </wp:positionH>
            <wp:positionV relativeFrom="paragraph">
              <wp:posOffset>9525</wp:posOffset>
            </wp:positionV>
            <wp:extent cx="1143000" cy="1310640"/>
            <wp:effectExtent l="0" t="0" r="0" b="3810"/>
            <wp:wrapTight wrapText="bothSides">
              <wp:wrapPolygon edited="0">
                <wp:start x="0" y="0"/>
                <wp:lineTo x="0" y="21349"/>
                <wp:lineTo x="21240" y="21349"/>
                <wp:lineTo x="21240" y="0"/>
                <wp:lineTo x="0" y="0"/>
              </wp:wrapPolygon>
            </wp:wrapTight>
            <wp:docPr id="134677970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779706" name="Picture 134677970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43000" cy="1310640"/>
                    </a:xfrm>
                    <a:prstGeom prst="rect">
                      <a:avLst/>
                    </a:prstGeom>
                  </pic:spPr>
                </pic:pic>
              </a:graphicData>
            </a:graphic>
            <wp14:sizeRelH relativeFrom="margin">
              <wp14:pctWidth>0</wp14:pctWidth>
            </wp14:sizeRelH>
            <wp14:sizeRelV relativeFrom="margin">
              <wp14:pctHeight>0</wp14:pctHeight>
            </wp14:sizeRelV>
          </wp:anchor>
        </w:drawing>
      </w:r>
      <w:r w:rsidR="005143EB" w:rsidRPr="005143EB">
        <w:rPr>
          <w:lang w:val="fr-FR"/>
        </w:rPr>
        <w:t xml:space="preserve">Le guerrier dace armé de la </w:t>
      </w:r>
      <w:r w:rsidR="005143EB" w:rsidRPr="005143EB">
        <w:rPr>
          <w:i/>
          <w:iCs/>
          <w:lang w:val="fr-FR"/>
        </w:rPr>
        <w:t>falx</w:t>
      </w:r>
      <w:r w:rsidR="005143EB" w:rsidRPr="005143EB">
        <w:rPr>
          <w:lang w:val="fr-FR"/>
        </w:rPr>
        <w:t xml:space="preserve"> comptait parmi les adversaires les plus terrifiants jamais affrontés par les légionnaires romains. Vêtu d'une simple tunique et d'un pantalon en laine, et ne portant que peu ou pas d'armure, il misait davantage sur la férocité et la rapidité que sur la protection. Son arme emblématique était la </w:t>
      </w:r>
      <w:r w:rsidR="005143EB" w:rsidRPr="00100106">
        <w:rPr>
          <w:i/>
          <w:iCs/>
          <w:lang w:val="fr-FR"/>
        </w:rPr>
        <w:t>falx</w:t>
      </w:r>
      <w:r w:rsidR="005143EB" w:rsidRPr="005143EB">
        <w:rPr>
          <w:lang w:val="fr-FR"/>
        </w:rPr>
        <w:t xml:space="preserve"> : une longue lame de fer incurvée, tranchante sur son bord intérieur, maniée à deux mains pour porter des coups de taille et de crochetage dévastateurs. Dans sa version à une main, la </w:t>
      </w:r>
      <w:r w:rsidR="005143EB" w:rsidRPr="00100106">
        <w:rPr>
          <w:i/>
          <w:iCs/>
          <w:lang w:val="fr-FR"/>
        </w:rPr>
        <w:t>sica</w:t>
      </w:r>
      <w:r w:rsidR="005143EB" w:rsidRPr="005143EB">
        <w:rPr>
          <w:lang w:val="fr-FR"/>
        </w:rPr>
        <w:t xml:space="preserve"> servait d'arme d'appoint pour le combat rapproché.</w:t>
      </w:r>
    </w:p>
    <w:p w14:paraId="575006D9" w14:textId="211441EE" w:rsidR="00CD4DC7" w:rsidRPr="005143EB" w:rsidRDefault="005143EB" w:rsidP="005143EB">
      <w:pPr>
        <w:rPr>
          <w:lang w:val="fr-FR"/>
        </w:rPr>
      </w:pPr>
      <w:r w:rsidRPr="005143EB">
        <w:rPr>
          <w:lang w:val="fr-FR"/>
        </w:rPr>
        <w:t xml:space="preserve">Ces guerriers lançaient des charges agressives, accompagnées de grands cris, dans le but de briser le moral des Romains avant même le choc des lignes. La lame recourbée de la </w:t>
      </w:r>
      <w:r w:rsidRPr="00100106">
        <w:rPr>
          <w:i/>
          <w:iCs/>
          <w:lang w:val="fr-FR"/>
        </w:rPr>
        <w:t>falx</w:t>
      </w:r>
      <w:r w:rsidRPr="005143EB">
        <w:rPr>
          <w:lang w:val="fr-FR"/>
        </w:rPr>
        <w:t xml:space="preserve"> était spécialement </w:t>
      </w:r>
      <w:r w:rsidRPr="005143EB">
        <w:rPr>
          <w:lang w:val="fr-FR"/>
        </w:rPr>
        <w:lastRenderedPageBreak/>
        <w:t>conçue pour déjouer les boucliers romains : elle permettait de les écarter pour exposer leur porteur, ou de frapper par-dessus ou par-dessous le bord du bouclier pour atteindre les membres et la gorge</w:t>
      </w:r>
      <w:r w:rsidR="00CD4DC7" w:rsidRPr="005143EB">
        <w:rPr>
          <w:lang w:val="fr-FR"/>
        </w:rPr>
        <w:t xml:space="preserve">. </w:t>
      </w:r>
    </w:p>
    <w:p w14:paraId="34239C2F" w14:textId="479AFE5C" w:rsidR="00CD4DC7" w:rsidRPr="00CD4DC7" w:rsidRDefault="00342DFB" w:rsidP="00CD4DC7">
      <w:pPr>
        <w:pStyle w:val="Heading3"/>
        <w:rPr>
          <w:lang w:val="en-US"/>
        </w:rPr>
      </w:pPr>
      <w:r>
        <w:rPr>
          <w:lang w:val="en-US"/>
        </w:rPr>
        <w:t>L’infanterie dace</w:t>
      </w:r>
      <w:r w:rsidR="00CD4DC7" w:rsidRPr="00CD4DC7">
        <w:rPr>
          <w:lang w:val="en-US"/>
        </w:rPr>
        <w:t xml:space="preserve"> (Dim &amp; Dil)</w:t>
      </w:r>
    </w:p>
    <w:p w14:paraId="207AB660" w14:textId="0F155498" w:rsidR="00CF2496" w:rsidRPr="00CF2496" w:rsidRDefault="00503658" w:rsidP="00CF2496">
      <w:pPr>
        <w:rPr>
          <w:lang w:val="fr-FR"/>
        </w:rPr>
      </w:pPr>
      <w:r>
        <w:rPr>
          <w:noProof/>
        </w:rPr>
        <w:drawing>
          <wp:anchor distT="0" distB="0" distL="114300" distR="114300" simplePos="0" relativeHeight="251683840" behindDoc="1" locked="0" layoutInCell="1" allowOverlap="1" wp14:anchorId="405AF1BB" wp14:editId="7775EB80">
            <wp:simplePos x="0" y="0"/>
            <wp:positionH relativeFrom="margin">
              <wp:align>right</wp:align>
            </wp:positionH>
            <wp:positionV relativeFrom="paragraph">
              <wp:posOffset>8890</wp:posOffset>
            </wp:positionV>
            <wp:extent cx="1605280" cy="1600200"/>
            <wp:effectExtent l="0" t="0" r="0" b="0"/>
            <wp:wrapTight wrapText="bothSides">
              <wp:wrapPolygon edited="0">
                <wp:start x="0" y="0"/>
                <wp:lineTo x="0" y="21343"/>
                <wp:lineTo x="21275" y="21343"/>
                <wp:lineTo x="21275" y="0"/>
                <wp:lineTo x="0" y="0"/>
              </wp:wrapPolygon>
            </wp:wrapTight>
            <wp:docPr id="169627797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277974" name="Picture 1696277974"/>
                    <pic:cNvPicPr/>
                  </pic:nvPicPr>
                  <pic:blipFill>
                    <a:blip r:embed="rId20">
                      <a:extLst>
                        <a:ext uri="{28A0092B-C50C-407E-A947-70E740481C1C}">
                          <a14:useLocalDpi xmlns:a14="http://schemas.microsoft.com/office/drawing/2010/main" val="0"/>
                        </a:ext>
                      </a:extLst>
                    </a:blip>
                    <a:stretch>
                      <a:fillRect/>
                    </a:stretch>
                  </pic:blipFill>
                  <pic:spPr>
                    <a:xfrm>
                      <a:off x="0" y="0"/>
                      <a:ext cx="1605280" cy="1600200"/>
                    </a:xfrm>
                    <a:prstGeom prst="rect">
                      <a:avLst/>
                    </a:prstGeom>
                  </pic:spPr>
                </pic:pic>
              </a:graphicData>
            </a:graphic>
            <wp14:sizeRelH relativeFrom="margin">
              <wp14:pctWidth>0</wp14:pctWidth>
            </wp14:sizeRelH>
            <wp14:sizeRelV relativeFrom="margin">
              <wp14:pctHeight>0</wp14:pctHeight>
            </wp14:sizeRelV>
          </wp:anchor>
        </w:drawing>
      </w:r>
      <w:r w:rsidR="00CF2496" w:rsidRPr="00CF2496">
        <w:rPr>
          <w:lang w:val="fr-FR"/>
        </w:rPr>
        <w:t xml:space="preserve">Au-delà des redoutables guerriers armés de la </w:t>
      </w:r>
      <w:r w:rsidR="00CF2496" w:rsidRPr="00CF2496">
        <w:rPr>
          <w:i/>
          <w:iCs/>
          <w:lang w:val="fr-FR"/>
        </w:rPr>
        <w:t>falx</w:t>
      </w:r>
      <w:r w:rsidR="00CF2496" w:rsidRPr="00CF2496">
        <w:rPr>
          <w:lang w:val="fr-FR"/>
        </w:rPr>
        <w:t xml:space="preserve">, le gros de l'infanterie dace était constitué de paysans libres levés pour le combat (les </w:t>
      </w:r>
      <w:r w:rsidR="00CF2496" w:rsidRPr="00CF2496">
        <w:rPr>
          <w:i/>
          <w:iCs/>
          <w:lang w:val="fr-FR"/>
        </w:rPr>
        <w:t>comati</w:t>
      </w:r>
      <w:r w:rsidR="00CF2496" w:rsidRPr="00CF2496">
        <w:rPr>
          <w:lang w:val="fr-FR"/>
        </w:rPr>
        <w:t xml:space="preserve">, ou « chevelus »), qui défendaient leur terre natale avec l'équipement dont ils disposaient. Ils portaient de simples tuniques et braies en laine à la mode thrace ainsi que des bottes en cuir brut, sans casque, bien qu'ils </w:t>
      </w:r>
      <w:r w:rsidR="003C1DB2">
        <w:rPr>
          <w:lang w:val="fr-FR"/>
        </w:rPr>
        <w:t>portaient</w:t>
      </w:r>
      <w:r w:rsidR="00CF2496" w:rsidRPr="00CF2496">
        <w:rPr>
          <w:lang w:val="fr-FR"/>
        </w:rPr>
        <w:t xml:space="preserve"> parfois un bonnet de cuir rudimentaire. Leurs boucliers, ovales ou ronds, étaient en bois recouvert de peau, et leur armement comprenait des lances, des javelots et des épées courtes.</w:t>
      </w:r>
    </w:p>
    <w:p w14:paraId="7FDC9B49" w14:textId="02C1B85D" w:rsidR="00CD4DC7" w:rsidRPr="00CF2496" w:rsidRDefault="00CF2496" w:rsidP="00CF2496">
      <w:pPr>
        <w:rPr>
          <w:lang w:val="fr-FR"/>
        </w:rPr>
      </w:pPr>
      <w:r w:rsidRPr="00CF2496">
        <w:rPr>
          <w:lang w:val="fr-FR"/>
        </w:rPr>
        <w:t xml:space="preserve">Les </w:t>
      </w:r>
      <w:r w:rsidRPr="003C1DB2">
        <w:rPr>
          <w:i/>
          <w:iCs/>
          <w:lang w:val="fr-FR"/>
        </w:rPr>
        <w:t>comati</w:t>
      </w:r>
      <w:r w:rsidRPr="00CF2496">
        <w:rPr>
          <w:lang w:val="fr-FR"/>
        </w:rPr>
        <w:t xml:space="preserve"> formaient la masse numérique des armées de Déc</w:t>
      </w:r>
      <w:r w:rsidR="003C1DB2">
        <w:rPr>
          <w:lang w:val="fr-FR"/>
        </w:rPr>
        <w:t>i</w:t>
      </w:r>
      <w:r w:rsidRPr="00CF2496">
        <w:rPr>
          <w:lang w:val="fr-FR"/>
        </w:rPr>
        <w:t>bal</w:t>
      </w:r>
      <w:r w:rsidR="003C1DB2">
        <w:rPr>
          <w:lang w:val="fr-FR"/>
        </w:rPr>
        <w:t>us</w:t>
      </w:r>
      <w:r w:rsidRPr="00CF2496">
        <w:rPr>
          <w:lang w:val="fr-FR"/>
        </w:rPr>
        <w:t xml:space="preserve">, encaissant la pression romaine tandis que les guerriers à la </w:t>
      </w:r>
      <w:r w:rsidRPr="003C1DB2">
        <w:rPr>
          <w:i/>
          <w:iCs/>
          <w:lang w:val="fr-FR"/>
        </w:rPr>
        <w:t>falx</w:t>
      </w:r>
      <w:r w:rsidRPr="00CF2496">
        <w:rPr>
          <w:lang w:val="fr-FR"/>
        </w:rPr>
        <w:t xml:space="preserve"> et la cavalerie opéraient sur les flancs. Ils lançaient des charges compactes et bruyantes depuis les hauteurs boisées, tirant parti du relief des Carpates pour neutraliser la supériorité tactique romaine en terrain découvert. Durant la seconde guerre (105-106 apr. J.-C.), alors que les batailles rangées s'étaient révélées vaines, ils adoptèrent des tactiques de guérilla : ils harcelaient les convois de ravitaillement romains, détruisaient les ponts et défendaient les cols de montagne avec une ténacité désespérée</w:t>
      </w:r>
      <w:r w:rsidR="00CD4DC7" w:rsidRPr="00CF2496">
        <w:rPr>
          <w:lang w:val="fr-FR"/>
        </w:rPr>
        <w:t>.</w:t>
      </w:r>
    </w:p>
    <w:p w14:paraId="4D3E34EF" w14:textId="541A4655" w:rsidR="00CD4DC7" w:rsidRDefault="003C1DB2" w:rsidP="00CD4DC7">
      <w:pPr>
        <w:pStyle w:val="Heading3"/>
      </w:pPr>
      <w:r>
        <w:t>Les</w:t>
      </w:r>
      <w:r w:rsidR="00CD4DC7">
        <w:t xml:space="preserve"> archers (Dia)</w:t>
      </w:r>
    </w:p>
    <w:p w14:paraId="76DD987E" w14:textId="0F090638" w:rsidR="00332147" w:rsidRPr="00332147" w:rsidRDefault="00A14331" w:rsidP="00332147">
      <w:pPr>
        <w:rPr>
          <w:lang w:val="fr-FR"/>
        </w:rPr>
      </w:pPr>
      <w:r>
        <w:rPr>
          <w:noProof/>
        </w:rPr>
        <w:drawing>
          <wp:anchor distT="0" distB="0" distL="114300" distR="114300" simplePos="0" relativeHeight="251685888" behindDoc="1" locked="0" layoutInCell="1" allowOverlap="1" wp14:anchorId="53A335D5" wp14:editId="7769C744">
            <wp:simplePos x="0" y="0"/>
            <wp:positionH relativeFrom="margin">
              <wp:align>right</wp:align>
            </wp:positionH>
            <wp:positionV relativeFrom="paragraph">
              <wp:posOffset>9525</wp:posOffset>
            </wp:positionV>
            <wp:extent cx="571500" cy="1165860"/>
            <wp:effectExtent l="0" t="0" r="0" b="0"/>
            <wp:wrapTight wrapText="bothSides">
              <wp:wrapPolygon edited="0">
                <wp:start x="0" y="0"/>
                <wp:lineTo x="0" y="21176"/>
                <wp:lineTo x="20880" y="21176"/>
                <wp:lineTo x="20880" y="0"/>
                <wp:lineTo x="0" y="0"/>
              </wp:wrapPolygon>
            </wp:wrapTight>
            <wp:docPr id="3044460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446011" name="Picture 30444601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1500" cy="1165860"/>
                    </a:xfrm>
                    <a:prstGeom prst="rect">
                      <a:avLst/>
                    </a:prstGeom>
                  </pic:spPr>
                </pic:pic>
              </a:graphicData>
            </a:graphic>
            <wp14:sizeRelH relativeFrom="margin">
              <wp14:pctWidth>0</wp14:pctWidth>
            </wp14:sizeRelH>
            <wp14:sizeRelV relativeFrom="margin">
              <wp14:pctHeight>0</wp14:pctHeight>
            </wp14:sizeRelV>
          </wp:anchor>
        </w:drawing>
      </w:r>
      <w:r w:rsidR="00332147" w:rsidRPr="00332147">
        <w:rPr>
          <w:lang w:val="fr-FR"/>
        </w:rPr>
        <w:t>L'archer dace jouait un rôle de soutien précieux au sein des armées de Déc</w:t>
      </w:r>
      <w:r w:rsidR="00332147">
        <w:rPr>
          <w:lang w:val="fr-FR"/>
        </w:rPr>
        <w:t>i</w:t>
      </w:r>
      <w:r w:rsidR="00332147" w:rsidRPr="00332147">
        <w:rPr>
          <w:lang w:val="fr-FR"/>
        </w:rPr>
        <w:t>bal</w:t>
      </w:r>
      <w:r w:rsidR="00332147">
        <w:rPr>
          <w:lang w:val="fr-FR"/>
        </w:rPr>
        <w:t>us</w:t>
      </w:r>
      <w:r w:rsidR="00332147" w:rsidRPr="00332147">
        <w:rPr>
          <w:lang w:val="fr-FR"/>
        </w:rPr>
        <w:t xml:space="preserve"> ; il était issu de la même classe de paysans libres que l'infanterie ordinaire. Il portait la tenue caractéristique des </w:t>
      </w:r>
      <w:r w:rsidR="00332147" w:rsidRPr="00332147">
        <w:rPr>
          <w:i/>
          <w:iCs/>
          <w:lang w:val="fr-FR"/>
        </w:rPr>
        <w:t>comati</w:t>
      </w:r>
      <w:r w:rsidR="00332147">
        <w:rPr>
          <w:lang w:val="fr-FR"/>
        </w:rPr>
        <w:t xml:space="preserve">, </w:t>
      </w:r>
      <w:r w:rsidR="00332147" w:rsidRPr="00332147">
        <w:rPr>
          <w:lang w:val="fr-FR"/>
        </w:rPr>
        <w:t>tunique en laine, pantalon ample et bottes en cuir</w:t>
      </w:r>
      <w:r w:rsidR="00CD6F92">
        <w:rPr>
          <w:lang w:val="fr-FR"/>
        </w:rPr>
        <w:t xml:space="preserve">, </w:t>
      </w:r>
      <w:r w:rsidR="00332147" w:rsidRPr="00332147">
        <w:rPr>
          <w:lang w:val="fr-FR"/>
        </w:rPr>
        <w:t>et ne disposait d'aucune armure notable, comptant uniquement sur la distance pour se protéger. Son arme était un arc simple en bois, plus court et moins puissant que les arcs composites orientaux des archers parthes ou syriens, bien que les contingents les mieux équipés aient parfois recours à des arcs composites sarmates importés. Un couteau ou une épée courte constituait son unique moyen de défense au corps à corps.</w:t>
      </w:r>
    </w:p>
    <w:p w14:paraId="112E79BF" w14:textId="12B53A6E" w:rsidR="00CD4DC7" w:rsidRPr="00332147" w:rsidRDefault="00332147" w:rsidP="00332147">
      <w:pPr>
        <w:rPr>
          <w:lang w:val="fr-FR"/>
        </w:rPr>
      </w:pPr>
      <w:r w:rsidRPr="00332147">
        <w:rPr>
          <w:lang w:val="fr-FR"/>
        </w:rPr>
        <w:t xml:space="preserve">Les archers daces étaient déployés sur les hauteurs boisées et aux abords des cols montagneux, tirant parti du relief accidenté des Carpates, adapté à leur équipement léger et à leur portée limitée. Ils couvraient les flancs des guerriers armés de </w:t>
      </w:r>
      <w:r w:rsidRPr="00CD6F92">
        <w:rPr>
          <w:i/>
          <w:iCs/>
          <w:lang w:val="fr-FR"/>
        </w:rPr>
        <w:t>falx</w:t>
      </w:r>
      <w:r w:rsidRPr="00332147">
        <w:rPr>
          <w:lang w:val="fr-FR"/>
        </w:rPr>
        <w:t xml:space="preserve"> lors de leur progression, harcelaient les colonnes romaines en marche et défendaient les complexes fortifiés en pierre des monts Or</w:t>
      </w:r>
      <w:r w:rsidRPr="00332147">
        <w:rPr>
          <w:rFonts w:ascii="Cambria" w:hAnsi="Cambria" w:cs="Cambria"/>
          <w:lang w:val="fr-FR"/>
        </w:rPr>
        <w:t>ăș</w:t>
      </w:r>
      <w:r w:rsidRPr="00332147">
        <w:rPr>
          <w:lang w:val="fr-FR"/>
        </w:rPr>
        <w:t>tie, notamment Sarmizegetusa Regia.</w:t>
      </w:r>
    </w:p>
    <w:p w14:paraId="3F014EE8" w14:textId="1F398299" w:rsidR="00CD4DC7" w:rsidRDefault="00CD6F92" w:rsidP="00CD4DC7">
      <w:pPr>
        <w:pStyle w:val="Heading2"/>
      </w:pPr>
      <w:r>
        <w:t>Les Judéens</w:t>
      </w:r>
    </w:p>
    <w:p w14:paraId="303CEECD" w14:textId="16CA73BE" w:rsidR="00CD4DC7" w:rsidRPr="00CD6F92" w:rsidRDefault="00CD6F92" w:rsidP="00CD4DC7">
      <w:pPr>
        <w:pStyle w:val="Heading3"/>
      </w:pPr>
      <w:r w:rsidRPr="00CD6F92">
        <w:t>Les archers à cheval h</w:t>
      </w:r>
      <w:r>
        <w:t>érodiens</w:t>
      </w:r>
    </w:p>
    <w:p w14:paraId="35E4261D" w14:textId="6FC6FB37" w:rsidR="00DC190B" w:rsidRPr="00DC190B" w:rsidRDefault="005C005E" w:rsidP="00DC190B">
      <w:pPr>
        <w:rPr>
          <w:lang w:val="fr-FR"/>
        </w:rPr>
      </w:pPr>
      <w:r>
        <w:rPr>
          <w:noProof/>
        </w:rPr>
        <w:drawing>
          <wp:anchor distT="0" distB="0" distL="114300" distR="114300" simplePos="0" relativeHeight="251687936" behindDoc="1" locked="0" layoutInCell="1" allowOverlap="1" wp14:anchorId="0763BAF4" wp14:editId="04C7E689">
            <wp:simplePos x="0" y="0"/>
            <wp:positionH relativeFrom="margin">
              <wp:align>right</wp:align>
            </wp:positionH>
            <wp:positionV relativeFrom="paragraph">
              <wp:posOffset>-320675</wp:posOffset>
            </wp:positionV>
            <wp:extent cx="1249045" cy="1581150"/>
            <wp:effectExtent l="0" t="0" r="8255" b="0"/>
            <wp:wrapTight wrapText="bothSides">
              <wp:wrapPolygon edited="0">
                <wp:start x="0" y="0"/>
                <wp:lineTo x="0" y="21340"/>
                <wp:lineTo x="21413" y="21340"/>
                <wp:lineTo x="21413" y="0"/>
                <wp:lineTo x="0" y="0"/>
              </wp:wrapPolygon>
            </wp:wrapTight>
            <wp:docPr id="130534281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342819" name="Picture 1305342819"/>
                    <pic:cNvPicPr/>
                  </pic:nvPicPr>
                  <pic:blipFill>
                    <a:blip r:embed="rId22">
                      <a:extLst>
                        <a:ext uri="{28A0092B-C50C-407E-A947-70E740481C1C}">
                          <a14:useLocalDpi xmlns:a14="http://schemas.microsoft.com/office/drawing/2010/main" val="0"/>
                        </a:ext>
                      </a:extLst>
                    </a:blip>
                    <a:stretch>
                      <a:fillRect/>
                    </a:stretch>
                  </pic:blipFill>
                  <pic:spPr>
                    <a:xfrm>
                      <a:off x="0" y="0"/>
                      <a:ext cx="1249045" cy="1581150"/>
                    </a:xfrm>
                    <a:prstGeom prst="rect">
                      <a:avLst/>
                    </a:prstGeom>
                  </pic:spPr>
                </pic:pic>
              </a:graphicData>
            </a:graphic>
            <wp14:sizeRelH relativeFrom="margin">
              <wp14:pctWidth>0</wp14:pctWidth>
            </wp14:sizeRelH>
            <wp14:sizeRelV relativeFrom="margin">
              <wp14:pctHeight>0</wp14:pctHeight>
            </wp14:sizeRelV>
          </wp:anchor>
        </w:drawing>
      </w:r>
      <w:r w:rsidR="00DC190B" w:rsidRPr="00DC190B">
        <w:rPr>
          <w:lang w:val="fr-FR"/>
        </w:rPr>
        <w:t xml:space="preserve">L'archer monté hérodien était un cavalier auxiliaire spécialisé, entretenu par les rois clients de Judée </w:t>
      </w:r>
      <w:r w:rsidR="00DC190B">
        <w:rPr>
          <w:lang w:val="fr-FR"/>
        </w:rPr>
        <w:t>(</w:t>
      </w:r>
      <w:r w:rsidR="00DC190B" w:rsidRPr="00DC190B">
        <w:rPr>
          <w:lang w:val="fr-FR"/>
        </w:rPr>
        <w:t>Hérode le Grand et ses successeurs</w:t>
      </w:r>
      <w:r w:rsidR="00DC190B">
        <w:rPr>
          <w:lang w:val="fr-FR"/>
        </w:rPr>
        <w:t>)</w:t>
      </w:r>
      <w:r w:rsidR="00DC190B" w:rsidRPr="00DC190B">
        <w:rPr>
          <w:lang w:val="fr-FR"/>
        </w:rPr>
        <w:t xml:space="preserve"> au sein d'une force professionnelle mixte alliant traditions équestres orientales et discipline organisationnelle romaine. Il portait la tenue réglementaire du cavalier auxiliaire oriental : une tunique de lin ou de laine, un pantalon ample rentré dans des bottes d'équitation en cuir souple, ainsi qu'un casque de type oriental (conique ou à calotte bombée), parfois complété par une légère </w:t>
      </w:r>
      <w:r w:rsidR="00DC190B" w:rsidRPr="00DC190B">
        <w:rPr>
          <w:lang w:val="fr-FR"/>
        </w:rPr>
        <w:lastRenderedPageBreak/>
        <w:t>cuirasse à écailles pour les cavaliers les plus aisés. Sa monture ne portait aucune protection. Son arme principale était l'arc composite fait de corne, de tendons et de bois</w:t>
      </w:r>
      <w:r w:rsidR="006B4A5E">
        <w:rPr>
          <w:lang w:val="fr-FR"/>
        </w:rPr>
        <w:t>,</w:t>
      </w:r>
      <w:r w:rsidR="00DC190B" w:rsidRPr="00DC190B">
        <w:rPr>
          <w:lang w:val="fr-FR"/>
        </w:rPr>
        <w:t xml:space="preserve"> capable de tirs précis à plus de 100 mètres, complété par une épée courte ou une dague pour le combat rapproché.</w:t>
      </w:r>
    </w:p>
    <w:p w14:paraId="5E84BDFA" w14:textId="497DD69A" w:rsidR="00CD4DC7" w:rsidRPr="00DC190B" w:rsidRDefault="00DC190B" w:rsidP="00DC190B">
      <w:pPr>
        <w:rPr>
          <w:lang w:val="fr-FR"/>
        </w:rPr>
      </w:pPr>
      <w:r w:rsidRPr="00DC190B">
        <w:rPr>
          <w:lang w:val="fr-FR"/>
        </w:rPr>
        <w:t xml:space="preserve">Les archers montés hérodiens opéraient comme forces d'écran et de harcèlement, tirant parti des espaces ouverts de la vallée du Jourdain, du Néguev et de la plaine côtière, où leur mobilité pouvait s'exprimer pleinement. Lorsqu'ils furent intégrés aux troupes auxiliaires romaines durant les révoltes juives, ils assurèrent des missions de flanc-garde et de poursuite. Agiles et </w:t>
      </w:r>
      <w:r w:rsidR="00BE1CD0">
        <w:rPr>
          <w:lang w:val="fr-FR"/>
        </w:rPr>
        <w:t>peu coûteux</w:t>
      </w:r>
      <w:r w:rsidRPr="00DC190B">
        <w:rPr>
          <w:lang w:val="fr-FR"/>
        </w:rPr>
        <w:t>, ils constituaient un atout tactique inestimable face à des adversaires dépourvus d'archerie montée équivalente</w:t>
      </w:r>
      <w:r w:rsidR="00CD4DC7" w:rsidRPr="00DC190B">
        <w:rPr>
          <w:lang w:val="fr-FR"/>
        </w:rPr>
        <w:t>.</w:t>
      </w:r>
    </w:p>
    <w:p w14:paraId="2578F9D0" w14:textId="73B37470" w:rsidR="00CD4DC7" w:rsidRPr="00A7517A" w:rsidRDefault="00BE1CD0" w:rsidP="00CD4DC7">
      <w:pPr>
        <w:pStyle w:val="Heading3"/>
      </w:pPr>
      <w:r w:rsidRPr="00A7517A">
        <w:t>L’infanterie judéenne</w:t>
      </w:r>
      <w:r w:rsidR="00CD4DC7" w:rsidRPr="00A7517A">
        <w:t xml:space="preserve"> (Jil, Jij, Jim</w:t>
      </w:r>
      <w:r w:rsidR="00F634BF">
        <w:t>, Jia, Jis</w:t>
      </w:r>
      <w:r w:rsidR="00CD4DC7" w:rsidRPr="00A7517A">
        <w:t>)</w:t>
      </w:r>
    </w:p>
    <w:p w14:paraId="7745C580" w14:textId="5A3284F9" w:rsidR="00A7517A" w:rsidRPr="00A7517A" w:rsidRDefault="00D645F5" w:rsidP="00A7517A">
      <w:pPr>
        <w:rPr>
          <w:lang w:val="fr-FR"/>
        </w:rPr>
      </w:pPr>
      <w:r>
        <w:rPr>
          <w:noProof/>
        </w:rPr>
        <w:drawing>
          <wp:anchor distT="0" distB="0" distL="114300" distR="114300" simplePos="0" relativeHeight="251689984" behindDoc="1" locked="0" layoutInCell="1" allowOverlap="1" wp14:anchorId="686BD8A4" wp14:editId="0A711B57">
            <wp:simplePos x="0" y="0"/>
            <wp:positionH relativeFrom="margin">
              <wp:align>right</wp:align>
            </wp:positionH>
            <wp:positionV relativeFrom="paragraph">
              <wp:posOffset>8890</wp:posOffset>
            </wp:positionV>
            <wp:extent cx="1695450" cy="1310640"/>
            <wp:effectExtent l="0" t="0" r="0" b="3810"/>
            <wp:wrapTight wrapText="bothSides">
              <wp:wrapPolygon edited="0">
                <wp:start x="0" y="0"/>
                <wp:lineTo x="0" y="21349"/>
                <wp:lineTo x="21357" y="21349"/>
                <wp:lineTo x="21357" y="0"/>
                <wp:lineTo x="0" y="0"/>
              </wp:wrapPolygon>
            </wp:wrapTight>
            <wp:docPr id="7380765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076510" name="Picture 738076510"/>
                    <pic:cNvPicPr/>
                  </pic:nvPicPr>
                  <pic:blipFill>
                    <a:blip r:embed="rId23">
                      <a:extLst>
                        <a:ext uri="{28A0092B-C50C-407E-A947-70E740481C1C}">
                          <a14:useLocalDpi xmlns:a14="http://schemas.microsoft.com/office/drawing/2010/main" val="0"/>
                        </a:ext>
                      </a:extLst>
                    </a:blip>
                    <a:stretch>
                      <a:fillRect/>
                    </a:stretch>
                  </pic:blipFill>
                  <pic:spPr>
                    <a:xfrm>
                      <a:off x="0" y="0"/>
                      <a:ext cx="1695450" cy="1310640"/>
                    </a:xfrm>
                    <a:prstGeom prst="rect">
                      <a:avLst/>
                    </a:prstGeom>
                  </pic:spPr>
                </pic:pic>
              </a:graphicData>
            </a:graphic>
            <wp14:sizeRelH relativeFrom="margin">
              <wp14:pctWidth>0</wp14:pctWidth>
            </wp14:sizeRelH>
            <wp14:sizeRelV relativeFrom="margin">
              <wp14:pctHeight>0</wp14:pctHeight>
            </wp14:sizeRelV>
          </wp:anchor>
        </w:drawing>
      </w:r>
      <w:r w:rsidR="00A7517A" w:rsidRPr="00A7517A">
        <w:rPr>
          <w:lang w:val="fr-FR"/>
        </w:rPr>
        <w:t>Le fantassin judéen de la Grande Révolte (66–73 apr. J.-C.) et de la révolte de Bar Kokhba (132–135 apr. J.-C.) n'était pas un soldat de métier, mais un combattant déterminé dont la férocité et la connaissance intime du terrain compensaient en partie l'absence d'entraînement militaire formel. Il portait la tenue ordinaire du paysan de Méditerranée orientale : une tunique de lin ou de laine ceinturée à la taille, un manteau de laine (</w:t>
      </w:r>
      <w:r w:rsidR="00A7517A" w:rsidRPr="00A7517A">
        <w:rPr>
          <w:i/>
          <w:iCs/>
          <w:lang w:val="fr-FR"/>
        </w:rPr>
        <w:t>tallith</w:t>
      </w:r>
      <w:r w:rsidR="00A7517A" w:rsidRPr="00A7517A">
        <w:rPr>
          <w:lang w:val="fr-FR"/>
        </w:rPr>
        <w:t xml:space="preserve">) et des sandales en cuir, sans casque. Les combattants les plus aisés et les chefs arboraient parfois des armures romaines prises à l'ennemi ou des cuirasses d'écailles et de mailles de fabrication locale. Leur armement comprenait des lances, des épées courtes, des poignards, des javelots, des frondes et des </w:t>
      </w:r>
      <w:r w:rsidR="00F634BF">
        <w:rPr>
          <w:lang w:val="fr-FR"/>
        </w:rPr>
        <w:t>arcs</w:t>
      </w:r>
      <w:r w:rsidR="00A7517A" w:rsidRPr="00A7517A">
        <w:rPr>
          <w:lang w:val="fr-FR"/>
        </w:rPr>
        <w:t>, complétés par une quantité importante d'équipement romain de prise, accumulé grâce aux embuscades et aux dépouilles récupérées sur le champ de bataille.</w:t>
      </w:r>
    </w:p>
    <w:p w14:paraId="00C62B5A" w14:textId="5F2430CD" w:rsidR="00CD4DC7" w:rsidRPr="00A7517A" w:rsidRDefault="009F183A" w:rsidP="00A7517A">
      <w:pPr>
        <w:rPr>
          <w:lang w:val="fr-FR"/>
        </w:rPr>
      </w:pPr>
      <w:r>
        <w:rPr>
          <w:noProof/>
        </w:rPr>
        <w:drawing>
          <wp:anchor distT="0" distB="0" distL="114300" distR="114300" simplePos="0" relativeHeight="251692032" behindDoc="1" locked="0" layoutInCell="1" allowOverlap="1" wp14:anchorId="3A2C0241" wp14:editId="5BFCE483">
            <wp:simplePos x="0" y="0"/>
            <wp:positionH relativeFrom="margin">
              <wp:align>right</wp:align>
            </wp:positionH>
            <wp:positionV relativeFrom="paragraph">
              <wp:posOffset>9525</wp:posOffset>
            </wp:positionV>
            <wp:extent cx="1732915" cy="1409700"/>
            <wp:effectExtent l="0" t="0" r="635" b="0"/>
            <wp:wrapTight wrapText="bothSides">
              <wp:wrapPolygon edited="0">
                <wp:start x="0" y="0"/>
                <wp:lineTo x="0" y="21308"/>
                <wp:lineTo x="21370" y="21308"/>
                <wp:lineTo x="21370" y="0"/>
                <wp:lineTo x="0" y="0"/>
              </wp:wrapPolygon>
            </wp:wrapTight>
            <wp:docPr id="4211510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15107" name="Picture 42115107"/>
                    <pic:cNvPicPr/>
                  </pic:nvPicPr>
                  <pic:blipFill>
                    <a:blip r:embed="rId24">
                      <a:extLst>
                        <a:ext uri="{28A0092B-C50C-407E-A947-70E740481C1C}">
                          <a14:useLocalDpi xmlns:a14="http://schemas.microsoft.com/office/drawing/2010/main" val="0"/>
                        </a:ext>
                      </a:extLst>
                    </a:blip>
                    <a:stretch>
                      <a:fillRect/>
                    </a:stretch>
                  </pic:blipFill>
                  <pic:spPr>
                    <a:xfrm>
                      <a:off x="0" y="0"/>
                      <a:ext cx="1732915" cy="1409700"/>
                    </a:xfrm>
                    <a:prstGeom prst="rect">
                      <a:avLst/>
                    </a:prstGeom>
                  </pic:spPr>
                </pic:pic>
              </a:graphicData>
            </a:graphic>
            <wp14:sizeRelH relativeFrom="margin">
              <wp14:pctWidth>0</wp14:pctWidth>
            </wp14:sizeRelH>
            <wp14:sizeRelV relativeFrom="margin">
              <wp14:pctHeight>0</wp14:pctHeight>
            </wp14:sizeRelV>
          </wp:anchor>
        </w:drawing>
      </w:r>
      <w:r w:rsidR="00A7517A" w:rsidRPr="00A7517A">
        <w:rPr>
          <w:lang w:val="fr-FR"/>
        </w:rPr>
        <w:t>Les combattants judéens excellaient dans le combat urbain et la défense lors des sièges. Ils recouraient à des réseaux complexes de tunnels souterrains, à des sorties surprises depuis leurs positions fortifiées et à une arme psychologique puissante : la conviction religieuse alliée à un refus absolu de se rendre. Si, en rase campagne, ils étaient systématiquement vaincus par la discipline romaine, ils infligeaient de lourdes pertes à l'adversaire lorsqu'ils combattaient derrière des murailles ou dans des tunnels</w:t>
      </w:r>
      <w:r w:rsidR="00CD4DC7" w:rsidRPr="00A7517A">
        <w:rPr>
          <w:lang w:val="fr-FR"/>
        </w:rPr>
        <w:t>.</w:t>
      </w:r>
    </w:p>
    <w:p w14:paraId="4D79C44E" w14:textId="7D851637" w:rsidR="00CD4DC7" w:rsidRDefault="00CE16E1" w:rsidP="00CD4DC7">
      <w:pPr>
        <w:pStyle w:val="Heading3"/>
      </w:pPr>
      <w:r>
        <w:t>Les</w:t>
      </w:r>
      <w:r w:rsidR="00CD4DC7">
        <w:t xml:space="preserve"> Sica</w:t>
      </w:r>
      <w:r>
        <w:t>ires</w:t>
      </w:r>
      <w:r w:rsidR="00CD4DC7">
        <w:t xml:space="preserve"> (Jic)</w:t>
      </w:r>
    </w:p>
    <w:p w14:paraId="272B6B83" w14:textId="564371E9" w:rsidR="00934455" w:rsidRPr="00934455" w:rsidRDefault="00DA2B28" w:rsidP="00934455">
      <w:pPr>
        <w:rPr>
          <w:lang w:val="fr-FR"/>
        </w:rPr>
      </w:pPr>
      <w:r>
        <w:rPr>
          <w:noProof/>
        </w:rPr>
        <w:drawing>
          <wp:anchor distT="0" distB="0" distL="114300" distR="114300" simplePos="0" relativeHeight="251694080" behindDoc="1" locked="0" layoutInCell="1" allowOverlap="1" wp14:anchorId="7475DB85" wp14:editId="6F327D0E">
            <wp:simplePos x="0" y="0"/>
            <wp:positionH relativeFrom="margin">
              <wp:align>right</wp:align>
            </wp:positionH>
            <wp:positionV relativeFrom="paragraph">
              <wp:posOffset>8890</wp:posOffset>
            </wp:positionV>
            <wp:extent cx="1598930" cy="1295400"/>
            <wp:effectExtent l="0" t="0" r="1270" b="0"/>
            <wp:wrapTight wrapText="bothSides">
              <wp:wrapPolygon edited="0">
                <wp:start x="0" y="0"/>
                <wp:lineTo x="0" y="21282"/>
                <wp:lineTo x="21360" y="21282"/>
                <wp:lineTo x="21360" y="0"/>
                <wp:lineTo x="0" y="0"/>
              </wp:wrapPolygon>
            </wp:wrapTight>
            <wp:docPr id="7207821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82119" name="Picture 720782119"/>
                    <pic:cNvPicPr/>
                  </pic:nvPicPr>
                  <pic:blipFill>
                    <a:blip r:embed="rId25">
                      <a:extLst>
                        <a:ext uri="{28A0092B-C50C-407E-A947-70E740481C1C}">
                          <a14:useLocalDpi xmlns:a14="http://schemas.microsoft.com/office/drawing/2010/main" val="0"/>
                        </a:ext>
                      </a:extLst>
                    </a:blip>
                    <a:stretch>
                      <a:fillRect/>
                    </a:stretch>
                  </pic:blipFill>
                  <pic:spPr>
                    <a:xfrm>
                      <a:off x="0" y="0"/>
                      <a:ext cx="1598930" cy="1295400"/>
                    </a:xfrm>
                    <a:prstGeom prst="rect">
                      <a:avLst/>
                    </a:prstGeom>
                  </pic:spPr>
                </pic:pic>
              </a:graphicData>
            </a:graphic>
            <wp14:sizeRelH relativeFrom="margin">
              <wp14:pctWidth>0</wp14:pctWidth>
            </wp14:sizeRelH>
            <wp14:sizeRelV relativeFrom="margin">
              <wp14:pctHeight>0</wp14:pctHeight>
            </wp14:sizeRelV>
          </wp:anchor>
        </w:drawing>
      </w:r>
      <w:r w:rsidR="00934455" w:rsidRPr="00934455">
        <w:rPr>
          <w:lang w:val="fr-FR"/>
        </w:rPr>
        <w:t xml:space="preserve">Les Sicaires, qui tiraient leur nom de la </w:t>
      </w:r>
      <w:r w:rsidR="00934455" w:rsidRPr="00934455">
        <w:rPr>
          <w:i/>
          <w:iCs/>
          <w:lang w:val="fr-FR"/>
        </w:rPr>
        <w:t>sica</w:t>
      </w:r>
      <w:r w:rsidR="00934455">
        <w:rPr>
          <w:lang w:val="fr-FR"/>
        </w:rPr>
        <w:t xml:space="preserve">, </w:t>
      </w:r>
      <w:r w:rsidR="00934455" w:rsidRPr="00934455">
        <w:rPr>
          <w:lang w:val="fr-FR"/>
        </w:rPr>
        <w:t>ce poignard court et recourbé dissimulé sous leur manteau</w:t>
      </w:r>
      <w:r w:rsidR="00934455">
        <w:rPr>
          <w:lang w:val="fr-FR"/>
        </w:rPr>
        <w:t>,</w:t>
      </w:r>
      <w:r w:rsidR="00934455" w:rsidRPr="00934455">
        <w:rPr>
          <w:lang w:val="fr-FR"/>
        </w:rPr>
        <w:t xml:space="preserve"> constituaient le plus radical et le plus redouté des mouvements de résistance juifs ; opérant d'abord comme des tueurs en milieu urbain, ils se transformèrent en une force combattante désespérée durant la Grande Révolte. Ils arboraient la tenue ordinaire des rues de Jérusalem : une simple tunique de lin ou de laine, des sandales et un lourd manteau de laine (</w:t>
      </w:r>
      <w:r w:rsidR="00934455" w:rsidRPr="00BB5E82">
        <w:rPr>
          <w:i/>
          <w:iCs/>
          <w:lang w:val="fr-FR"/>
        </w:rPr>
        <w:t>himation</w:t>
      </w:r>
      <w:r w:rsidR="00934455" w:rsidRPr="00934455">
        <w:rPr>
          <w:lang w:val="fr-FR"/>
        </w:rPr>
        <w:t>), choisi tout spécialement pour dissimuler leur arme de prédilection. Ils ne portaient ni armure, ni bouclier, ni lance.</w:t>
      </w:r>
    </w:p>
    <w:p w14:paraId="105DC3BE" w14:textId="12A6A4CF" w:rsidR="00CD4DC7" w:rsidRDefault="00934455" w:rsidP="00934455">
      <w:pPr>
        <w:rPr>
          <w:lang w:val="fr-FR"/>
        </w:rPr>
      </w:pPr>
      <w:r w:rsidRPr="00934455">
        <w:rPr>
          <w:lang w:val="fr-FR"/>
        </w:rPr>
        <w:t xml:space="preserve">Les Sicaires excellaient dans l'art de frapper au sein de la foule : ils approchaient leurs cibles sur les marchés bondés, lors de fêtes ou de rassemblements publics, portaient un coup de lame dissimulée, </w:t>
      </w:r>
      <w:r w:rsidRPr="00934455">
        <w:rPr>
          <w:lang w:val="fr-FR"/>
        </w:rPr>
        <w:lastRenderedPageBreak/>
        <w:t>puis se volatilisaient dans la foule avant même que la victime ne s'effondre. Leurs cibles privilégiées étaient les Juifs modérés et les grands prêtres disposés à collaborer avec l'autorité romaine, faisant d'eux un instrument de terreur interne tout autant qu'une force de résistance anti-romaine</w:t>
      </w:r>
      <w:r w:rsidR="00CD4DC7" w:rsidRPr="00934455">
        <w:rPr>
          <w:lang w:val="fr-FR"/>
        </w:rPr>
        <w:t xml:space="preserve">. </w:t>
      </w:r>
    </w:p>
    <w:p w14:paraId="42C14CE0" w14:textId="4890D5E0" w:rsidR="00B75C29" w:rsidRDefault="00B75C29" w:rsidP="00B75C29">
      <w:pPr>
        <w:pStyle w:val="Heading1"/>
      </w:pPr>
      <w:r>
        <w:t>Les cartes</w:t>
      </w:r>
    </w:p>
    <w:p w14:paraId="0CAEFEC0" w14:textId="3D29C761" w:rsidR="00B75C29" w:rsidRDefault="00EB5C89" w:rsidP="00B75C29">
      <w:pPr>
        <w:pStyle w:val="Heading2"/>
      </w:pPr>
      <w:r>
        <w:t xml:space="preserve">Le </w:t>
      </w:r>
      <w:r w:rsidR="00FE519B">
        <w:t>f</w:t>
      </w:r>
      <w:r>
        <w:t>ortin</w:t>
      </w:r>
    </w:p>
    <w:p w14:paraId="306FC944" w14:textId="41FBA804" w:rsidR="00B75C29" w:rsidRPr="007B34C1" w:rsidRDefault="00B75C29" w:rsidP="00B75C29">
      <w:pPr>
        <w:rPr>
          <w:lang w:val="fr-FR"/>
        </w:rPr>
      </w:pPr>
      <w:r>
        <w:rPr>
          <w:noProof/>
        </w:rPr>
        <w:drawing>
          <wp:anchor distT="0" distB="0" distL="114300" distR="114300" simplePos="0" relativeHeight="251696128" behindDoc="1" locked="0" layoutInCell="1" allowOverlap="1" wp14:anchorId="18CEA922" wp14:editId="4B3B35B3">
            <wp:simplePos x="0" y="0"/>
            <wp:positionH relativeFrom="margin">
              <wp:align>right</wp:align>
            </wp:positionH>
            <wp:positionV relativeFrom="paragraph">
              <wp:posOffset>5080</wp:posOffset>
            </wp:positionV>
            <wp:extent cx="1905000" cy="1352550"/>
            <wp:effectExtent l="0" t="0" r="0" b="0"/>
            <wp:wrapTight wrapText="bothSides">
              <wp:wrapPolygon edited="0">
                <wp:start x="0" y="0"/>
                <wp:lineTo x="0" y="21296"/>
                <wp:lineTo x="21384" y="21296"/>
                <wp:lineTo x="21384" y="0"/>
                <wp:lineTo x="0" y="0"/>
              </wp:wrapPolygon>
            </wp:wrapTight>
            <wp:docPr id="1749792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792673" name="Picture 1749792673"/>
                    <pic:cNvPicPr/>
                  </pic:nvPicPr>
                  <pic:blipFill>
                    <a:blip r:embed="rId26">
                      <a:extLst>
                        <a:ext uri="{28A0092B-C50C-407E-A947-70E740481C1C}">
                          <a14:useLocalDpi xmlns:a14="http://schemas.microsoft.com/office/drawing/2010/main" val="0"/>
                        </a:ext>
                      </a:extLst>
                    </a:blip>
                    <a:stretch>
                      <a:fillRect/>
                    </a:stretch>
                  </pic:blipFill>
                  <pic:spPr>
                    <a:xfrm>
                      <a:off x="0" y="0"/>
                      <a:ext cx="1905000" cy="1352550"/>
                    </a:xfrm>
                    <a:prstGeom prst="rect">
                      <a:avLst/>
                    </a:prstGeom>
                  </pic:spPr>
                </pic:pic>
              </a:graphicData>
            </a:graphic>
          </wp:anchor>
        </w:drawing>
      </w:r>
      <w:r w:rsidR="007B34C1">
        <w:rPr>
          <w:noProof/>
          <w:lang w:val="fr-FR"/>
        </w:rPr>
        <w:t>Ces fortins</w:t>
      </w:r>
      <w:r w:rsidR="007B34C1" w:rsidRPr="007B34C1">
        <w:rPr>
          <w:noProof/>
          <w:lang w:val="fr-FR"/>
        </w:rPr>
        <w:t xml:space="preserve"> furent construits à intervalles réguliers d'un mille romain (environ 1 480 mètres) sur toute la longueur du mur d'Hadrien, qui s'étendait sur 117 kilomètres. Chacun constituait un petit fortin autonome aux dimensions intérieures d'environ 18 mètres sur 15 ; bâtis en pierre, ils présentaient des murs d'une épaisseur moyenne de 1,8 mètre, solidaires du mur principal lui-même. Une porte nord à double passage traversait l'ouvrage, permettant le contrôle du transit des personnes et des marchandises à travers la frontière, tandis qu'une porte unique s'ouvrait côté sud. Deux casernements, en bois ou en pierre, abritaient une garnison de huit à trente-deux soldats issus de cohortes auxiliaires ; ces effectifs étaient insuffisants pour repousser une attaque d'envergure, mais suffisants pour observer, signaler et retarder l'ennemi le temps que les unités principales de la garnison se déploient depuis leurs forts de plus grande taille.</w:t>
      </w:r>
      <w:r w:rsidRPr="007B34C1">
        <w:rPr>
          <w:lang w:val="fr-FR"/>
        </w:rPr>
        <w:t xml:space="preserve"> </w:t>
      </w:r>
    </w:p>
    <w:p w14:paraId="4D253C71" w14:textId="57E0AFCE" w:rsidR="00FE519B" w:rsidRDefault="00FE519B" w:rsidP="00FE519B">
      <w:pPr>
        <w:pStyle w:val="Heading2"/>
      </w:pPr>
      <w:r>
        <w:t>La</w:t>
      </w:r>
      <w:r w:rsidR="00B75C29">
        <w:t xml:space="preserve"> </w:t>
      </w:r>
      <w:r>
        <w:t>b</w:t>
      </w:r>
      <w:r w:rsidR="00B75C29">
        <w:t>arricade</w:t>
      </w:r>
      <w:r w:rsidR="00B75C29">
        <w:rPr>
          <w:noProof/>
        </w:rPr>
        <w:drawing>
          <wp:anchor distT="0" distB="0" distL="114300" distR="114300" simplePos="0" relativeHeight="251697152" behindDoc="1" locked="0" layoutInCell="1" allowOverlap="1" wp14:anchorId="3987DE48" wp14:editId="2C674A39">
            <wp:simplePos x="0" y="0"/>
            <wp:positionH relativeFrom="margin">
              <wp:align>right</wp:align>
            </wp:positionH>
            <wp:positionV relativeFrom="paragraph">
              <wp:posOffset>11430</wp:posOffset>
            </wp:positionV>
            <wp:extent cx="1905000" cy="1352550"/>
            <wp:effectExtent l="0" t="0" r="0" b="0"/>
            <wp:wrapTight wrapText="bothSides">
              <wp:wrapPolygon edited="0">
                <wp:start x="0" y="0"/>
                <wp:lineTo x="0" y="21296"/>
                <wp:lineTo x="21384" y="21296"/>
                <wp:lineTo x="21384" y="0"/>
                <wp:lineTo x="0" y="0"/>
              </wp:wrapPolygon>
            </wp:wrapTight>
            <wp:docPr id="17662510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251032" name="Picture 1766251032"/>
                    <pic:cNvPicPr/>
                  </pic:nvPicPr>
                  <pic:blipFill>
                    <a:blip r:embed="rId27">
                      <a:extLst>
                        <a:ext uri="{28A0092B-C50C-407E-A947-70E740481C1C}">
                          <a14:useLocalDpi xmlns:a14="http://schemas.microsoft.com/office/drawing/2010/main" val="0"/>
                        </a:ext>
                      </a:extLst>
                    </a:blip>
                    <a:stretch>
                      <a:fillRect/>
                    </a:stretch>
                  </pic:blipFill>
                  <pic:spPr>
                    <a:xfrm>
                      <a:off x="0" y="0"/>
                      <a:ext cx="1905000" cy="1352550"/>
                    </a:xfrm>
                    <a:prstGeom prst="rect">
                      <a:avLst/>
                    </a:prstGeom>
                  </pic:spPr>
                </pic:pic>
              </a:graphicData>
            </a:graphic>
          </wp:anchor>
        </w:drawing>
      </w:r>
    </w:p>
    <w:p w14:paraId="64E0F0C3" w14:textId="6D892BBD" w:rsidR="00B75C29" w:rsidRPr="00FE519B" w:rsidRDefault="00FE519B" w:rsidP="00FE519B">
      <w:pPr>
        <w:rPr>
          <w:lang w:val="fr-FR"/>
        </w:rPr>
      </w:pPr>
      <w:r w:rsidRPr="00FE519B">
        <w:rPr>
          <w:noProof/>
          <w:lang w:val="fr-FR"/>
        </w:rPr>
        <w:t>Une barricade en bois surmontant un rempart de terre et dotée d'un chemin de ronde étroit, fut érigée par les tribus germaniques dans la forêt de Teutobourg pour ralentir la progression des légions de Varus. Les Romains ne parvinrent pas à percer l'enchevêtrement de branches, qui se contentaient de ployer sans rompre ni se fendre. La barricade est interrompue par une poterne que les Germains pouvaient emprunter pour attaquer les Romains</w:t>
      </w:r>
      <w:r w:rsidR="00B75C29" w:rsidRPr="00FE519B">
        <w:rPr>
          <w:lang w:val="fr-FR"/>
        </w:rPr>
        <w:t>.</w:t>
      </w:r>
    </w:p>
    <w:p w14:paraId="248142E8" w14:textId="214C8B0A" w:rsidR="00B75C29" w:rsidRDefault="00B75C29" w:rsidP="00B75C29">
      <w:pPr>
        <w:pStyle w:val="Heading2"/>
      </w:pPr>
      <w:r>
        <w:rPr>
          <w:noProof/>
        </w:rPr>
        <w:drawing>
          <wp:anchor distT="0" distB="0" distL="114300" distR="114300" simplePos="0" relativeHeight="251698176" behindDoc="1" locked="0" layoutInCell="1" allowOverlap="1" wp14:anchorId="11972CEC" wp14:editId="6FA326C2">
            <wp:simplePos x="0" y="0"/>
            <wp:positionH relativeFrom="margin">
              <wp:align>right</wp:align>
            </wp:positionH>
            <wp:positionV relativeFrom="paragraph">
              <wp:posOffset>0</wp:posOffset>
            </wp:positionV>
            <wp:extent cx="1905000" cy="1352550"/>
            <wp:effectExtent l="0" t="0" r="0" b="0"/>
            <wp:wrapTight wrapText="bothSides">
              <wp:wrapPolygon edited="0">
                <wp:start x="0" y="0"/>
                <wp:lineTo x="0" y="21296"/>
                <wp:lineTo x="21384" y="21296"/>
                <wp:lineTo x="21384" y="0"/>
                <wp:lineTo x="0" y="0"/>
              </wp:wrapPolygon>
            </wp:wrapTight>
            <wp:docPr id="9016602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60285" name="Picture 901660285"/>
                    <pic:cNvPicPr/>
                  </pic:nvPicPr>
                  <pic:blipFill>
                    <a:blip r:embed="rId28">
                      <a:extLst>
                        <a:ext uri="{28A0092B-C50C-407E-A947-70E740481C1C}">
                          <a14:useLocalDpi xmlns:a14="http://schemas.microsoft.com/office/drawing/2010/main" val="0"/>
                        </a:ext>
                      </a:extLst>
                    </a:blip>
                    <a:stretch>
                      <a:fillRect/>
                    </a:stretch>
                  </pic:blipFill>
                  <pic:spPr>
                    <a:xfrm>
                      <a:off x="0" y="0"/>
                      <a:ext cx="1905000" cy="1352550"/>
                    </a:xfrm>
                    <a:prstGeom prst="rect">
                      <a:avLst/>
                    </a:prstGeom>
                  </pic:spPr>
                </pic:pic>
              </a:graphicData>
            </a:graphic>
          </wp:anchor>
        </w:drawing>
      </w:r>
      <w:r w:rsidR="00236AC5">
        <w:rPr>
          <w:noProof/>
        </w:rPr>
        <w:t>Le</w:t>
      </w:r>
      <w:r>
        <w:t xml:space="preserve"> </w:t>
      </w:r>
      <w:r w:rsidR="00236AC5">
        <w:t>c</w:t>
      </w:r>
      <w:r>
        <w:t>amp</w:t>
      </w:r>
      <w:r w:rsidR="00236AC5">
        <w:t xml:space="preserve"> de chariots</w:t>
      </w:r>
    </w:p>
    <w:p w14:paraId="0DF07E80" w14:textId="1DB71999" w:rsidR="00B75C29" w:rsidRPr="0021371F" w:rsidRDefault="0021371F" w:rsidP="00B75C29">
      <w:pPr>
        <w:rPr>
          <w:lang w:val="fr-FR"/>
        </w:rPr>
      </w:pPr>
      <w:r w:rsidRPr="0021371F">
        <w:rPr>
          <w:lang w:val="fr-FR"/>
        </w:rPr>
        <w:t>Les Celtes, les Germains et les Daces s'appuyaient sur leurs chariots pour former une enceinte défensive autour de leurs tentes et de leurs biens</w:t>
      </w:r>
      <w:r>
        <w:rPr>
          <w:lang w:val="fr-FR"/>
        </w:rPr>
        <w:t xml:space="preserve"> lorsque leurs tribus se déplaçaient</w:t>
      </w:r>
      <w:r w:rsidR="00B75C29" w:rsidRPr="0021371F">
        <w:rPr>
          <w:lang w:val="fr-FR"/>
        </w:rPr>
        <w:t>.</w:t>
      </w:r>
    </w:p>
    <w:p w14:paraId="5E319B29" w14:textId="77777777" w:rsidR="00B75C29" w:rsidRPr="0021371F" w:rsidRDefault="00B75C29" w:rsidP="00B75C29">
      <w:pPr>
        <w:rPr>
          <w:lang w:val="fr-FR"/>
        </w:rPr>
      </w:pPr>
    </w:p>
    <w:p w14:paraId="301A699C" w14:textId="77777777" w:rsidR="00B75C29" w:rsidRPr="0021371F" w:rsidRDefault="00B75C29" w:rsidP="00B75C29">
      <w:pPr>
        <w:rPr>
          <w:lang w:val="fr-FR"/>
        </w:rPr>
      </w:pPr>
    </w:p>
    <w:p w14:paraId="005246DD" w14:textId="77777777" w:rsidR="00B75C29" w:rsidRPr="0021371F" w:rsidRDefault="00B75C29" w:rsidP="00B75C29">
      <w:pPr>
        <w:rPr>
          <w:lang w:val="fr-FR"/>
        </w:rPr>
      </w:pPr>
    </w:p>
    <w:p w14:paraId="6F7540CF" w14:textId="2F4A8565" w:rsidR="00B75C29" w:rsidRDefault="00236AC5" w:rsidP="00B75C29">
      <w:pPr>
        <w:pStyle w:val="Heading2"/>
      </w:pPr>
      <w:r>
        <w:lastRenderedPageBreak/>
        <w:t>Le</w:t>
      </w:r>
      <w:r w:rsidR="00B75C29">
        <w:t xml:space="preserve"> </w:t>
      </w:r>
      <w:r>
        <w:t>v</w:t>
      </w:r>
      <w:r w:rsidR="00B75C29">
        <w:t>illage</w:t>
      </w:r>
      <w:r>
        <w:t xml:space="preserve"> judéen</w:t>
      </w:r>
    </w:p>
    <w:p w14:paraId="00442BB5" w14:textId="21839CC1" w:rsidR="00B75C29" w:rsidRPr="008501E0" w:rsidRDefault="00B75C29" w:rsidP="00B75C29">
      <w:pPr>
        <w:rPr>
          <w:lang w:val="fr-FR"/>
        </w:rPr>
      </w:pPr>
      <w:r>
        <w:rPr>
          <w:noProof/>
        </w:rPr>
        <w:drawing>
          <wp:anchor distT="0" distB="0" distL="114300" distR="114300" simplePos="0" relativeHeight="251699200" behindDoc="1" locked="0" layoutInCell="1" allowOverlap="1" wp14:anchorId="6112D630" wp14:editId="2AAFD711">
            <wp:simplePos x="0" y="0"/>
            <wp:positionH relativeFrom="margin">
              <wp:align>right</wp:align>
            </wp:positionH>
            <wp:positionV relativeFrom="paragraph">
              <wp:posOffset>9525</wp:posOffset>
            </wp:positionV>
            <wp:extent cx="1905000" cy="1352550"/>
            <wp:effectExtent l="0" t="0" r="0" b="0"/>
            <wp:wrapTight wrapText="bothSides">
              <wp:wrapPolygon edited="0">
                <wp:start x="0" y="0"/>
                <wp:lineTo x="0" y="21296"/>
                <wp:lineTo x="21384" y="21296"/>
                <wp:lineTo x="21384" y="0"/>
                <wp:lineTo x="0" y="0"/>
              </wp:wrapPolygon>
            </wp:wrapTight>
            <wp:docPr id="15117016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701684" name="Picture 1511701684"/>
                    <pic:cNvPicPr/>
                  </pic:nvPicPr>
                  <pic:blipFill>
                    <a:blip r:embed="rId29">
                      <a:extLst>
                        <a:ext uri="{28A0092B-C50C-407E-A947-70E740481C1C}">
                          <a14:useLocalDpi xmlns:a14="http://schemas.microsoft.com/office/drawing/2010/main" val="0"/>
                        </a:ext>
                      </a:extLst>
                    </a:blip>
                    <a:stretch>
                      <a:fillRect/>
                    </a:stretch>
                  </pic:blipFill>
                  <pic:spPr>
                    <a:xfrm>
                      <a:off x="0" y="0"/>
                      <a:ext cx="1905000" cy="1352550"/>
                    </a:xfrm>
                    <a:prstGeom prst="rect">
                      <a:avLst/>
                    </a:prstGeom>
                  </pic:spPr>
                </pic:pic>
              </a:graphicData>
            </a:graphic>
          </wp:anchor>
        </w:drawing>
      </w:r>
      <w:r w:rsidR="008501E0" w:rsidRPr="008501E0">
        <w:rPr>
          <w:noProof/>
          <w:lang w:val="fr-FR"/>
        </w:rPr>
        <w:t>Un village typique du Moyen-Orient, composé de maisons aux toits plats accessibles par des trappes et de ruelles étroites propices aux embuscades. Cette carte peut être combinée avec celle du « Village d'Outremer » (</w:t>
      </w:r>
      <w:r w:rsidR="00C5519F">
        <w:rPr>
          <w:noProof/>
          <w:lang w:val="fr-FR"/>
        </w:rPr>
        <w:t xml:space="preserve">fournie dans le jeu </w:t>
      </w:r>
      <w:r w:rsidR="008501E0" w:rsidRPr="008501E0">
        <w:rPr>
          <w:noProof/>
          <w:lang w:val="fr-FR"/>
        </w:rPr>
        <w:t>AGER SANGUINIS) pour former une localité plus vaste.</w:t>
      </w:r>
    </w:p>
    <w:p w14:paraId="524D6CD6" w14:textId="77777777" w:rsidR="00B75C29" w:rsidRPr="008501E0" w:rsidRDefault="00B75C29" w:rsidP="00B75C29">
      <w:pPr>
        <w:rPr>
          <w:lang w:val="fr-FR"/>
        </w:rPr>
      </w:pPr>
    </w:p>
    <w:p w14:paraId="7F551C6A" w14:textId="77777777" w:rsidR="00B75C29" w:rsidRPr="008501E0" w:rsidRDefault="00B75C29" w:rsidP="00B75C29">
      <w:pPr>
        <w:rPr>
          <w:lang w:val="fr-FR"/>
        </w:rPr>
      </w:pPr>
    </w:p>
    <w:p w14:paraId="7F301274" w14:textId="2ABA41A0" w:rsidR="00B75C29" w:rsidRDefault="00C5519F" w:rsidP="00B75C29">
      <w:pPr>
        <w:pStyle w:val="Heading2"/>
      </w:pPr>
      <w:r>
        <w:t>La falaise</w:t>
      </w:r>
    </w:p>
    <w:p w14:paraId="7240E765" w14:textId="682C4AA9" w:rsidR="00B75C29" w:rsidRPr="00D23B31" w:rsidRDefault="00B75C29" w:rsidP="00B75C29">
      <w:pPr>
        <w:rPr>
          <w:lang w:val="fr-FR"/>
        </w:rPr>
      </w:pPr>
      <w:r>
        <w:rPr>
          <w:noProof/>
        </w:rPr>
        <w:drawing>
          <wp:anchor distT="0" distB="0" distL="114300" distR="114300" simplePos="0" relativeHeight="251700224" behindDoc="1" locked="0" layoutInCell="1" allowOverlap="1" wp14:anchorId="36DA62AB" wp14:editId="73081C80">
            <wp:simplePos x="0" y="0"/>
            <wp:positionH relativeFrom="margin">
              <wp:align>right</wp:align>
            </wp:positionH>
            <wp:positionV relativeFrom="paragraph">
              <wp:posOffset>15240</wp:posOffset>
            </wp:positionV>
            <wp:extent cx="1905000" cy="1352550"/>
            <wp:effectExtent l="0" t="0" r="0" b="0"/>
            <wp:wrapTight wrapText="bothSides">
              <wp:wrapPolygon edited="0">
                <wp:start x="0" y="0"/>
                <wp:lineTo x="0" y="21296"/>
                <wp:lineTo x="21384" y="21296"/>
                <wp:lineTo x="21384" y="0"/>
                <wp:lineTo x="0" y="0"/>
              </wp:wrapPolygon>
            </wp:wrapTight>
            <wp:docPr id="16437118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711890" name="Picture 1643711890"/>
                    <pic:cNvPicPr/>
                  </pic:nvPicPr>
                  <pic:blipFill>
                    <a:blip r:embed="rId30">
                      <a:extLst>
                        <a:ext uri="{28A0092B-C50C-407E-A947-70E740481C1C}">
                          <a14:useLocalDpi xmlns:a14="http://schemas.microsoft.com/office/drawing/2010/main" val="0"/>
                        </a:ext>
                      </a:extLst>
                    </a:blip>
                    <a:stretch>
                      <a:fillRect/>
                    </a:stretch>
                  </pic:blipFill>
                  <pic:spPr>
                    <a:xfrm>
                      <a:off x="0" y="0"/>
                      <a:ext cx="1905000" cy="1352550"/>
                    </a:xfrm>
                    <a:prstGeom prst="rect">
                      <a:avLst/>
                    </a:prstGeom>
                  </pic:spPr>
                </pic:pic>
              </a:graphicData>
            </a:graphic>
          </wp:anchor>
        </w:drawing>
      </w:r>
      <w:r w:rsidR="00D23B31" w:rsidRPr="00D23B31">
        <w:rPr>
          <w:noProof/>
          <w:lang w:val="fr-FR"/>
        </w:rPr>
        <w:t xml:space="preserve">Un terrain </w:t>
      </w:r>
      <w:r w:rsidR="00D23B31">
        <w:rPr>
          <w:noProof/>
          <w:lang w:val="fr-FR"/>
        </w:rPr>
        <w:t>déc</w:t>
      </w:r>
      <w:r w:rsidR="00D23B31" w:rsidRPr="00D23B31">
        <w:rPr>
          <w:noProof/>
          <w:lang w:val="fr-FR"/>
        </w:rPr>
        <w:t>ouvert bordé d'une falaise infranchissable d'un côté</w:t>
      </w:r>
      <w:r w:rsidR="00D23B31">
        <w:rPr>
          <w:noProof/>
          <w:lang w:val="fr-FR"/>
        </w:rPr>
        <w:t xml:space="preserve"> et</w:t>
      </w:r>
      <w:r w:rsidR="00D23B31" w:rsidRPr="00D23B31">
        <w:rPr>
          <w:noProof/>
          <w:lang w:val="fr-FR"/>
        </w:rPr>
        <w:t xml:space="preserve"> doté de </w:t>
      </w:r>
      <w:r w:rsidR="00D23B31">
        <w:rPr>
          <w:noProof/>
          <w:lang w:val="fr-FR"/>
        </w:rPr>
        <w:t>pentes</w:t>
      </w:r>
      <w:r w:rsidR="00D23B31" w:rsidRPr="00D23B31">
        <w:rPr>
          <w:noProof/>
          <w:lang w:val="fr-FR"/>
        </w:rPr>
        <w:t xml:space="preserve"> concentriques</w:t>
      </w:r>
      <w:r w:rsidR="0059736A">
        <w:rPr>
          <w:noProof/>
          <w:lang w:val="fr-FR"/>
        </w:rPr>
        <w:t xml:space="preserve"> de l’autre</w:t>
      </w:r>
      <w:r w:rsidR="00D23B31" w:rsidRPr="00D23B31">
        <w:rPr>
          <w:noProof/>
          <w:lang w:val="fr-FR"/>
        </w:rPr>
        <w:t xml:space="preserve"> créant un dénivelé de trois niveaux par rapport au pied de la falaise. Cette </w:t>
      </w:r>
      <w:r w:rsidR="0059736A">
        <w:rPr>
          <w:noProof/>
          <w:lang w:val="fr-FR"/>
        </w:rPr>
        <w:t>carte</w:t>
      </w:r>
      <w:r w:rsidR="00D23B31" w:rsidRPr="00D23B31">
        <w:rPr>
          <w:noProof/>
          <w:lang w:val="fr-FR"/>
        </w:rPr>
        <w:t xml:space="preserve"> peut être combinée avec la carte « Barricade » pour former un obstacle redoutable : les tireurs postés au sommet de la falaise peuvent atteindre de nombreux ennemis sans risquer d'être attaqués, à moins qu'un groupe ne contourne l'obstacle pour les prendre à </w:t>
      </w:r>
      <w:r w:rsidR="0059736A">
        <w:rPr>
          <w:noProof/>
          <w:lang w:val="fr-FR"/>
        </w:rPr>
        <w:t>revers</w:t>
      </w:r>
      <w:r w:rsidR="00D23B31" w:rsidRPr="00D23B31">
        <w:rPr>
          <w:noProof/>
          <w:lang w:val="fr-FR"/>
        </w:rPr>
        <w:t xml:space="preserve"> via les </w:t>
      </w:r>
      <w:r w:rsidR="003A78F8">
        <w:rPr>
          <w:noProof/>
          <w:lang w:val="fr-FR"/>
        </w:rPr>
        <w:t>pentes</w:t>
      </w:r>
      <w:r w:rsidRPr="00D23B31">
        <w:rPr>
          <w:lang w:val="fr-FR"/>
        </w:rPr>
        <w:t xml:space="preserve">. </w:t>
      </w:r>
    </w:p>
    <w:p w14:paraId="3EFA0640" w14:textId="77777777" w:rsidR="00B75C29" w:rsidRPr="00D23B31" w:rsidRDefault="00B75C29" w:rsidP="00B75C29">
      <w:pPr>
        <w:rPr>
          <w:lang w:val="fr-FR"/>
        </w:rPr>
      </w:pPr>
    </w:p>
    <w:p w14:paraId="404218E1" w14:textId="77777777" w:rsidR="00B75C29" w:rsidRPr="00D23B31" w:rsidRDefault="00B75C29" w:rsidP="00934455">
      <w:pPr>
        <w:rPr>
          <w:lang w:val="fr-FR"/>
        </w:rPr>
      </w:pPr>
    </w:p>
    <w:p w14:paraId="782B0645" w14:textId="77777777" w:rsidR="00CD4DC7" w:rsidRPr="00D23B31" w:rsidRDefault="00CD4DC7" w:rsidP="00CD4DC7">
      <w:pPr>
        <w:rPr>
          <w:lang w:val="fr-FR"/>
        </w:rPr>
      </w:pPr>
    </w:p>
    <w:p w14:paraId="5AADAB72" w14:textId="77777777" w:rsidR="00657303" w:rsidRPr="00D23B31" w:rsidRDefault="00657303" w:rsidP="00DD0F2B">
      <w:pPr>
        <w:rPr>
          <w:lang w:val="fr-FR"/>
        </w:rPr>
      </w:pPr>
    </w:p>
    <w:sectPr w:rsidR="00657303" w:rsidRPr="00D23B3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F97774" w14:textId="77777777" w:rsidR="000C1C36" w:rsidRDefault="000C1C36" w:rsidP="00512393">
      <w:pPr>
        <w:spacing w:after="0" w:line="240" w:lineRule="auto"/>
      </w:pPr>
      <w:r>
        <w:separator/>
      </w:r>
    </w:p>
  </w:endnote>
  <w:endnote w:type="continuationSeparator" w:id="0">
    <w:p w14:paraId="3500B98C" w14:textId="77777777" w:rsidR="000C1C36" w:rsidRDefault="000C1C36" w:rsidP="005123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Book Antiqua">
    <w:panose1 w:val="02040602050305030304"/>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ouvenir Lt BT">
    <w:panose1 w:val="02080503040505020303"/>
    <w:charset w:val="00"/>
    <w:family w:val="roman"/>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04FECD" w14:textId="77777777" w:rsidR="000C1C36" w:rsidRDefault="000C1C36" w:rsidP="00512393">
      <w:pPr>
        <w:spacing w:after="0" w:line="240" w:lineRule="auto"/>
      </w:pPr>
      <w:r>
        <w:separator/>
      </w:r>
    </w:p>
  </w:footnote>
  <w:footnote w:type="continuationSeparator" w:id="0">
    <w:p w14:paraId="216747A9" w14:textId="77777777" w:rsidR="000C1C36" w:rsidRDefault="000C1C36" w:rsidP="0051239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B5F72"/>
    <w:multiLevelType w:val="multilevel"/>
    <w:tmpl w:val="177E970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BE870CF"/>
    <w:multiLevelType w:val="hybridMultilevel"/>
    <w:tmpl w:val="1368F1CA"/>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492C50"/>
    <w:multiLevelType w:val="hybridMultilevel"/>
    <w:tmpl w:val="FAC85E58"/>
    <w:lvl w:ilvl="0" w:tplc="B570213C">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F462A0"/>
    <w:multiLevelType w:val="hybridMultilevel"/>
    <w:tmpl w:val="A740F5B6"/>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6279AC"/>
    <w:multiLevelType w:val="hybridMultilevel"/>
    <w:tmpl w:val="8CCCFE3C"/>
    <w:lvl w:ilvl="0" w:tplc="3EB87824">
      <w:start w:val="3"/>
      <w:numFmt w:val="bullet"/>
      <w:lvlText w:val="-"/>
      <w:lvlJc w:val="left"/>
      <w:pPr>
        <w:ind w:left="720" w:hanging="360"/>
      </w:pPr>
      <w:rPr>
        <w:rFonts w:ascii="Souvenir Lt BT" w:eastAsiaTheme="minorEastAsia" w:hAnsi="Souvenir Lt B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6D72D3A"/>
    <w:multiLevelType w:val="hybridMultilevel"/>
    <w:tmpl w:val="96386B28"/>
    <w:lvl w:ilvl="0" w:tplc="30A6AF7C">
      <w:start w:val="1"/>
      <w:numFmt w:val="bullet"/>
      <w:lvlText w:val="&gt;"/>
      <w:lvlJc w:val="left"/>
      <w:pPr>
        <w:ind w:left="720" w:hanging="360"/>
      </w:pPr>
      <w:rPr>
        <w:rFonts w:ascii="Souvenir Lt BT" w:hAnsi="Souvenir Lt BT" w:hint="default"/>
        <w:b/>
        <w:i w:val="0"/>
        <w:color w:val="FF000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A1761C0"/>
    <w:multiLevelType w:val="multilevel"/>
    <w:tmpl w:val="57EA10F4"/>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DEB5380"/>
    <w:multiLevelType w:val="multilevel"/>
    <w:tmpl w:val="A404BE3C"/>
    <w:lvl w:ilvl="0">
      <w:start w:val="1"/>
      <w:numFmt w:val="decimal"/>
      <w:lvlText w:val="%1."/>
      <w:lvlJc w:val="left"/>
      <w:pPr>
        <w:ind w:left="477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0E904A3"/>
    <w:multiLevelType w:val="multilevel"/>
    <w:tmpl w:val="7B3AF388"/>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2AD5515"/>
    <w:multiLevelType w:val="multilevel"/>
    <w:tmpl w:val="E6F4D8D4"/>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936795F"/>
    <w:multiLevelType w:val="multilevel"/>
    <w:tmpl w:val="B066B526"/>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3DD975C1"/>
    <w:multiLevelType w:val="hybridMultilevel"/>
    <w:tmpl w:val="A2C603C8"/>
    <w:lvl w:ilvl="0" w:tplc="30A6AF7C">
      <w:start w:val="1"/>
      <w:numFmt w:val="bullet"/>
      <w:lvlText w:val="&gt;"/>
      <w:lvlJc w:val="left"/>
      <w:pPr>
        <w:ind w:left="720" w:hanging="360"/>
      </w:pPr>
      <w:rPr>
        <w:rFonts w:ascii="Souvenir Lt BT" w:hAnsi="Souvenir Lt BT" w:hint="default"/>
        <w:b/>
        <w:i w:val="0"/>
        <w:color w:val="FF000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E4072D"/>
    <w:multiLevelType w:val="hybridMultilevel"/>
    <w:tmpl w:val="9474C822"/>
    <w:lvl w:ilvl="0" w:tplc="04090001">
      <w:start w:val="1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0C524E"/>
    <w:multiLevelType w:val="hybridMultilevel"/>
    <w:tmpl w:val="5D421990"/>
    <w:lvl w:ilvl="0" w:tplc="627221FA">
      <w:start w:val="1"/>
      <w:numFmt w:val="bullet"/>
      <w:lvlText w:val="&gt;"/>
      <w:lvlJc w:val="left"/>
      <w:pPr>
        <w:tabs>
          <w:tab w:val="num" w:pos="284"/>
        </w:tabs>
        <w:ind w:left="284" w:hanging="284"/>
      </w:pPr>
      <w:rPr>
        <w:rFonts w:ascii="Book Antiqua" w:hAnsi="Book Antiqua" w:hint="default"/>
        <w:b/>
        <w:i w:val="0"/>
        <w:color w:val="FF000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4657A8"/>
    <w:multiLevelType w:val="multilevel"/>
    <w:tmpl w:val="EF82CD8E"/>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517B1B9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552D5AAD"/>
    <w:multiLevelType w:val="multilevel"/>
    <w:tmpl w:val="374268FC"/>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5F0D4979"/>
    <w:multiLevelType w:val="hybridMultilevel"/>
    <w:tmpl w:val="E13C7C6C"/>
    <w:lvl w:ilvl="0" w:tplc="30A6AF7C">
      <w:start w:val="1"/>
      <w:numFmt w:val="bullet"/>
      <w:lvlText w:val="&gt;"/>
      <w:lvlJc w:val="left"/>
      <w:pPr>
        <w:ind w:left="720" w:hanging="360"/>
      </w:pPr>
      <w:rPr>
        <w:rFonts w:ascii="Souvenir Lt BT" w:hAnsi="Souvenir Lt BT" w:hint="default"/>
        <w:b/>
        <w:i w:val="0"/>
        <w:color w:val="FF000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BB69B0"/>
    <w:multiLevelType w:val="multilevel"/>
    <w:tmpl w:val="42460BEA"/>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440143E"/>
    <w:multiLevelType w:val="multilevel"/>
    <w:tmpl w:val="55CA91E8"/>
    <w:lvl w:ilvl="0">
      <w:start w:val="1"/>
      <w:numFmt w:val="decimal"/>
      <w:lvlText w:val="%1."/>
      <w:lvlJc w:val="left"/>
      <w:pPr>
        <w:ind w:left="477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842010598">
    <w:abstractNumId w:val="18"/>
  </w:num>
  <w:num w:numId="2" w16cid:durableId="118856488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15339189">
    <w:abstractNumId w:val="10"/>
  </w:num>
  <w:num w:numId="4" w16cid:durableId="1387099836">
    <w:abstractNumId w:val="9"/>
  </w:num>
  <w:num w:numId="5" w16cid:durableId="480005386">
    <w:abstractNumId w:val="6"/>
  </w:num>
  <w:num w:numId="6" w16cid:durableId="490681525">
    <w:abstractNumId w:val="6"/>
  </w:num>
  <w:num w:numId="7" w16cid:durableId="97530955">
    <w:abstractNumId w:val="14"/>
  </w:num>
  <w:num w:numId="8" w16cid:durableId="1091507070">
    <w:abstractNumId w:val="14"/>
  </w:num>
  <w:num w:numId="9" w16cid:durableId="638221960">
    <w:abstractNumId w:val="8"/>
  </w:num>
  <w:num w:numId="10" w16cid:durableId="396362985">
    <w:abstractNumId w:val="16"/>
  </w:num>
  <w:num w:numId="11" w16cid:durableId="585921873">
    <w:abstractNumId w:val="7"/>
  </w:num>
  <w:num w:numId="12" w16cid:durableId="438260286">
    <w:abstractNumId w:val="1"/>
  </w:num>
  <w:num w:numId="13" w16cid:durableId="206450087">
    <w:abstractNumId w:val="13"/>
  </w:num>
  <w:num w:numId="14" w16cid:durableId="1971861009">
    <w:abstractNumId w:val="3"/>
  </w:num>
  <w:num w:numId="15" w16cid:durableId="1089428592">
    <w:abstractNumId w:val="12"/>
  </w:num>
  <w:num w:numId="16" w16cid:durableId="1646855655">
    <w:abstractNumId w:val="7"/>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24588430">
    <w:abstractNumId w:val="2"/>
  </w:num>
  <w:num w:numId="18" w16cid:durableId="1712069271">
    <w:abstractNumId w:val="0"/>
  </w:num>
  <w:num w:numId="19" w16cid:durableId="1566184707">
    <w:abstractNumId w:val="19"/>
  </w:num>
  <w:num w:numId="20" w16cid:durableId="224607804">
    <w:abstractNumId w:val="15"/>
  </w:num>
  <w:num w:numId="21" w16cid:durableId="1494755550">
    <w:abstractNumId w:val="4"/>
  </w:num>
  <w:num w:numId="22" w16cid:durableId="1970893158">
    <w:abstractNumId w:val="15"/>
  </w:num>
  <w:num w:numId="23" w16cid:durableId="541406010">
    <w:abstractNumId w:val="11"/>
  </w:num>
  <w:num w:numId="24" w16cid:durableId="84235105">
    <w:abstractNumId w:val="5"/>
  </w:num>
  <w:num w:numId="25" w16cid:durableId="206798849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6CE"/>
    <w:rsid w:val="00006C13"/>
    <w:rsid w:val="00015630"/>
    <w:rsid w:val="00042D8A"/>
    <w:rsid w:val="000440AB"/>
    <w:rsid w:val="00053E24"/>
    <w:rsid w:val="000557D8"/>
    <w:rsid w:val="00057047"/>
    <w:rsid w:val="00064A1F"/>
    <w:rsid w:val="00070A84"/>
    <w:rsid w:val="0007791D"/>
    <w:rsid w:val="000A11E1"/>
    <w:rsid w:val="000C1C36"/>
    <w:rsid w:val="000C2C35"/>
    <w:rsid w:val="000C327D"/>
    <w:rsid w:val="000D29A0"/>
    <w:rsid w:val="00100106"/>
    <w:rsid w:val="00135D88"/>
    <w:rsid w:val="00155874"/>
    <w:rsid w:val="00162949"/>
    <w:rsid w:val="0018420C"/>
    <w:rsid w:val="001847A9"/>
    <w:rsid w:val="001D024E"/>
    <w:rsid w:val="00210072"/>
    <w:rsid w:val="0021371F"/>
    <w:rsid w:val="002223DF"/>
    <w:rsid w:val="002337A7"/>
    <w:rsid w:val="00234D18"/>
    <w:rsid w:val="00236AC5"/>
    <w:rsid w:val="00270A9C"/>
    <w:rsid w:val="002755F9"/>
    <w:rsid w:val="0028254E"/>
    <w:rsid w:val="002C50CE"/>
    <w:rsid w:val="002D4B4F"/>
    <w:rsid w:val="0030172F"/>
    <w:rsid w:val="0030412C"/>
    <w:rsid w:val="0031150E"/>
    <w:rsid w:val="00312475"/>
    <w:rsid w:val="00326156"/>
    <w:rsid w:val="00332147"/>
    <w:rsid w:val="00335E18"/>
    <w:rsid w:val="00342DFB"/>
    <w:rsid w:val="00364A3C"/>
    <w:rsid w:val="00367000"/>
    <w:rsid w:val="00372182"/>
    <w:rsid w:val="00374AF4"/>
    <w:rsid w:val="00386DEC"/>
    <w:rsid w:val="00387922"/>
    <w:rsid w:val="003909F8"/>
    <w:rsid w:val="003A78F8"/>
    <w:rsid w:val="003B5AE1"/>
    <w:rsid w:val="003C0F7F"/>
    <w:rsid w:val="003C1DB2"/>
    <w:rsid w:val="003E2874"/>
    <w:rsid w:val="00400B4C"/>
    <w:rsid w:val="00413256"/>
    <w:rsid w:val="004375D7"/>
    <w:rsid w:val="004556E7"/>
    <w:rsid w:val="0047654B"/>
    <w:rsid w:val="004776CE"/>
    <w:rsid w:val="00485BCE"/>
    <w:rsid w:val="00493271"/>
    <w:rsid w:val="00493F1B"/>
    <w:rsid w:val="004B136B"/>
    <w:rsid w:val="004C493E"/>
    <w:rsid w:val="004D2E6C"/>
    <w:rsid w:val="00503658"/>
    <w:rsid w:val="00512393"/>
    <w:rsid w:val="005143EB"/>
    <w:rsid w:val="0051793F"/>
    <w:rsid w:val="00523058"/>
    <w:rsid w:val="00523102"/>
    <w:rsid w:val="00524E26"/>
    <w:rsid w:val="00530217"/>
    <w:rsid w:val="00546BD7"/>
    <w:rsid w:val="0055687B"/>
    <w:rsid w:val="00561956"/>
    <w:rsid w:val="00562940"/>
    <w:rsid w:val="00564589"/>
    <w:rsid w:val="00564E25"/>
    <w:rsid w:val="00576DE6"/>
    <w:rsid w:val="00591D61"/>
    <w:rsid w:val="0059736A"/>
    <w:rsid w:val="005B133C"/>
    <w:rsid w:val="005C005E"/>
    <w:rsid w:val="005E371B"/>
    <w:rsid w:val="005E6A51"/>
    <w:rsid w:val="005F3B56"/>
    <w:rsid w:val="006368B8"/>
    <w:rsid w:val="00646129"/>
    <w:rsid w:val="00656DB0"/>
    <w:rsid w:val="00657303"/>
    <w:rsid w:val="00657544"/>
    <w:rsid w:val="006635C8"/>
    <w:rsid w:val="00683AA1"/>
    <w:rsid w:val="00684E92"/>
    <w:rsid w:val="00694129"/>
    <w:rsid w:val="0069602D"/>
    <w:rsid w:val="0069702B"/>
    <w:rsid w:val="006A67AD"/>
    <w:rsid w:val="006B36F4"/>
    <w:rsid w:val="006B4A5E"/>
    <w:rsid w:val="006B50C2"/>
    <w:rsid w:val="006C14B8"/>
    <w:rsid w:val="006D3A31"/>
    <w:rsid w:val="006E6054"/>
    <w:rsid w:val="006F4791"/>
    <w:rsid w:val="0073762C"/>
    <w:rsid w:val="00737EA6"/>
    <w:rsid w:val="007561B9"/>
    <w:rsid w:val="00757A16"/>
    <w:rsid w:val="00774057"/>
    <w:rsid w:val="00787830"/>
    <w:rsid w:val="007B34C1"/>
    <w:rsid w:val="007D40A9"/>
    <w:rsid w:val="007D592B"/>
    <w:rsid w:val="007D7E37"/>
    <w:rsid w:val="008009E3"/>
    <w:rsid w:val="00816DC0"/>
    <w:rsid w:val="00822685"/>
    <w:rsid w:val="008501E0"/>
    <w:rsid w:val="00864F74"/>
    <w:rsid w:val="00870339"/>
    <w:rsid w:val="00887758"/>
    <w:rsid w:val="0089204A"/>
    <w:rsid w:val="00897B61"/>
    <w:rsid w:val="008D613D"/>
    <w:rsid w:val="008F41D5"/>
    <w:rsid w:val="008F5213"/>
    <w:rsid w:val="009164DA"/>
    <w:rsid w:val="00934455"/>
    <w:rsid w:val="0093518F"/>
    <w:rsid w:val="0093525B"/>
    <w:rsid w:val="00944247"/>
    <w:rsid w:val="00967DC4"/>
    <w:rsid w:val="009761FB"/>
    <w:rsid w:val="00976E18"/>
    <w:rsid w:val="0098093E"/>
    <w:rsid w:val="00981AF2"/>
    <w:rsid w:val="00985A40"/>
    <w:rsid w:val="00993041"/>
    <w:rsid w:val="009C5C78"/>
    <w:rsid w:val="009E4B75"/>
    <w:rsid w:val="009F183A"/>
    <w:rsid w:val="009F1DB3"/>
    <w:rsid w:val="00A0211C"/>
    <w:rsid w:val="00A11D11"/>
    <w:rsid w:val="00A14331"/>
    <w:rsid w:val="00A21EB4"/>
    <w:rsid w:val="00A27FE6"/>
    <w:rsid w:val="00A47391"/>
    <w:rsid w:val="00A533F5"/>
    <w:rsid w:val="00A56B5B"/>
    <w:rsid w:val="00A64C2A"/>
    <w:rsid w:val="00A7517A"/>
    <w:rsid w:val="00A96D85"/>
    <w:rsid w:val="00AA2471"/>
    <w:rsid w:val="00AA7836"/>
    <w:rsid w:val="00AC69B0"/>
    <w:rsid w:val="00AC6A28"/>
    <w:rsid w:val="00B0461F"/>
    <w:rsid w:val="00B109F7"/>
    <w:rsid w:val="00B1795D"/>
    <w:rsid w:val="00B24456"/>
    <w:rsid w:val="00B34616"/>
    <w:rsid w:val="00B35AFA"/>
    <w:rsid w:val="00B50209"/>
    <w:rsid w:val="00B75C29"/>
    <w:rsid w:val="00B81D71"/>
    <w:rsid w:val="00BA2FA1"/>
    <w:rsid w:val="00BA5E6B"/>
    <w:rsid w:val="00BA5FD7"/>
    <w:rsid w:val="00BB5A45"/>
    <w:rsid w:val="00BB5E82"/>
    <w:rsid w:val="00BC639A"/>
    <w:rsid w:val="00BE1CD0"/>
    <w:rsid w:val="00BF4598"/>
    <w:rsid w:val="00BF7B93"/>
    <w:rsid w:val="00C025CE"/>
    <w:rsid w:val="00C130EB"/>
    <w:rsid w:val="00C15752"/>
    <w:rsid w:val="00C27003"/>
    <w:rsid w:val="00C27A63"/>
    <w:rsid w:val="00C43D05"/>
    <w:rsid w:val="00C5519F"/>
    <w:rsid w:val="00C6714C"/>
    <w:rsid w:val="00CA4838"/>
    <w:rsid w:val="00CB1E83"/>
    <w:rsid w:val="00CB3C12"/>
    <w:rsid w:val="00CC007B"/>
    <w:rsid w:val="00CC488B"/>
    <w:rsid w:val="00CC7ABC"/>
    <w:rsid w:val="00CD2387"/>
    <w:rsid w:val="00CD4DC7"/>
    <w:rsid w:val="00CD6F92"/>
    <w:rsid w:val="00CE16E1"/>
    <w:rsid w:val="00CE449D"/>
    <w:rsid w:val="00CF087B"/>
    <w:rsid w:val="00CF2496"/>
    <w:rsid w:val="00CF4004"/>
    <w:rsid w:val="00D04A8F"/>
    <w:rsid w:val="00D23B31"/>
    <w:rsid w:val="00D368DF"/>
    <w:rsid w:val="00D368FE"/>
    <w:rsid w:val="00D411B7"/>
    <w:rsid w:val="00D4657C"/>
    <w:rsid w:val="00D473DB"/>
    <w:rsid w:val="00D57638"/>
    <w:rsid w:val="00D645F5"/>
    <w:rsid w:val="00D753B2"/>
    <w:rsid w:val="00DA2B28"/>
    <w:rsid w:val="00DB066B"/>
    <w:rsid w:val="00DC0DBB"/>
    <w:rsid w:val="00DC190B"/>
    <w:rsid w:val="00DC3F91"/>
    <w:rsid w:val="00DD0F2B"/>
    <w:rsid w:val="00DD21C3"/>
    <w:rsid w:val="00DE26A3"/>
    <w:rsid w:val="00DE34A6"/>
    <w:rsid w:val="00DE7D3A"/>
    <w:rsid w:val="00E0371E"/>
    <w:rsid w:val="00E06711"/>
    <w:rsid w:val="00E24729"/>
    <w:rsid w:val="00E34104"/>
    <w:rsid w:val="00E5020D"/>
    <w:rsid w:val="00E559C8"/>
    <w:rsid w:val="00E60C04"/>
    <w:rsid w:val="00E7684F"/>
    <w:rsid w:val="00EA680B"/>
    <w:rsid w:val="00EB5C89"/>
    <w:rsid w:val="00EC4B2D"/>
    <w:rsid w:val="00EE6632"/>
    <w:rsid w:val="00F07E62"/>
    <w:rsid w:val="00F1568B"/>
    <w:rsid w:val="00F169FB"/>
    <w:rsid w:val="00F26EB9"/>
    <w:rsid w:val="00F312A5"/>
    <w:rsid w:val="00F47726"/>
    <w:rsid w:val="00F521CB"/>
    <w:rsid w:val="00F61E02"/>
    <w:rsid w:val="00F634BF"/>
    <w:rsid w:val="00F64735"/>
    <w:rsid w:val="00F64D6A"/>
    <w:rsid w:val="00F8728E"/>
    <w:rsid w:val="00FB4047"/>
    <w:rsid w:val="00FB7AB0"/>
    <w:rsid w:val="00FC2A50"/>
    <w:rsid w:val="00FD6454"/>
    <w:rsid w:val="00FE1AE2"/>
    <w:rsid w:val="00FE51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F68A76"/>
  <w15:docId w15:val="{5F51C3DF-E632-4AFD-823E-7684FEE73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6C13"/>
    <w:rPr>
      <w:rFonts w:ascii="Souvenir Lt BT" w:hAnsi="Souvenir Lt BT"/>
    </w:rPr>
  </w:style>
  <w:style w:type="paragraph" w:styleId="Heading1">
    <w:name w:val="heading 1"/>
    <w:basedOn w:val="Normal"/>
    <w:next w:val="Normal"/>
    <w:link w:val="Heading1Char"/>
    <w:autoRedefine/>
    <w:uiPriority w:val="9"/>
    <w:qFormat/>
    <w:rsid w:val="00A27FE6"/>
    <w:pPr>
      <w:keepNext/>
      <w:keepLines/>
      <w:numPr>
        <w:numId w:val="20"/>
      </w:numPr>
      <w:spacing w:before="240" w:after="0" w:line="240" w:lineRule="auto"/>
      <w:outlineLvl w:val="0"/>
    </w:pPr>
    <w:rPr>
      <w:rFonts w:eastAsia="Calibri" w:cs="Times New Roman"/>
      <w:b/>
      <w:i/>
      <w:color w:val="FF0000"/>
      <w:sz w:val="28"/>
      <w:szCs w:val="32"/>
      <w:lang w:val="fr-FR"/>
    </w:rPr>
  </w:style>
  <w:style w:type="paragraph" w:styleId="Heading2">
    <w:name w:val="heading 2"/>
    <w:basedOn w:val="Normal"/>
    <w:next w:val="Normal"/>
    <w:link w:val="Heading2Char"/>
    <w:autoRedefine/>
    <w:uiPriority w:val="9"/>
    <w:qFormat/>
    <w:rsid w:val="00A27FE6"/>
    <w:pPr>
      <w:keepNext/>
      <w:keepLines/>
      <w:numPr>
        <w:ilvl w:val="1"/>
        <w:numId w:val="20"/>
      </w:numPr>
      <w:spacing w:before="40" w:after="0" w:line="240" w:lineRule="auto"/>
      <w:outlineLvl w:val="1"/>
    </w:pPr>
    <w:rPr>
      <w:rFonts w:eastAsia="Calibri" w:cs="Times New Roman"/>
      <w:b/>
      <w:i/>
      <w:szCs w:val="26"/>
    </w:rPr>
  </w:style>
  <w:style w:type="paragraph" w:styleId="Heading3">
    <w:name w:val="heading 3"/>
    <w:basedOn w:val="Normal"/>
    <w:next w:val="Normal"/>
    <w:link w:val="Heading3Char"/>
    <w:autoRedefine/>
    <w:uiPriority w:val="9"/>
    <w:qFormat/>
    <w:rsid w:val="00A27FE6"/>
    <w:pPr>
      <w:keepNext/>
      <w:numPr>
        <w:ilvl w:val="2"/>
        <w:numId w:val="20"/>
      </w:numPr>
      <w:spacing w:before="120" w:after="60" w:line="240" w:lineRule="auto"/>
      <w:outlineLvl w:val="2"/>
    </w:pPr>
    <w:rPr>
      <w:rFonts w:eastAsia="Times New Roman" w:cs="Times New Roman"/>
      <w:b/>
      <w:i/>
      <w:color w:val="000000"/>
      <w:sz w:val="20"/>
      <w:szCs w:val="24"/>
      <w:lang w:val="fr-FR"/>
    </w:rPr>
  </w:style>
  <w:style w:type="paragraph" w:styleId="Heading4">
    <w:name w:val="heading 4"/>
    <w:basedOn w:val="Normal"/>
    <w:next w:val="Normal"/>
    <w:link w:val="Heading4Char"/>
    <w:uiPriority w:val="9"/>
    <w:semiHidden/>
    <w:unhideWhenUsed/>
    <w:qFormat/>
    <w:rsid w:val="00A27FE6"/>
    <w:pPr>
      <w:keepNext/>
      <w:keepLines/>
      <w:numPr>
        <w:ilvl w:val="3"/>
        <w:numId w:val="20"/>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A27FE6"/>
    <w:pPr>
      <w:keepNext/>
      <w:keepLines/>
      <w:numPr>
        <w:ilvl w:val="4"/>
        <w:numId w:val="20"/>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A27FE6"/>
    <w:pPr>
      <w:keepNext/>
      <w:keepLines/>
      <w:numPr>
        <w:ilvl w:val="5"/>
        <w:numId w:val="20"/>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A27FE6"/>
    <w:pPr>
      <w:keepNext/>
      <w:keepLines/>
      <w:numPr>
        <w:ilvl w:val="6"/>
        <w:numId w:val="20"/>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A27FE6"/>
    <w:pPr>
      <w:keepNext/>
      <w:keepLines/>
      <w:numPr>
        <w:ilvl w:val="7"/>
        <w:numId w:val="20"/>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27FE6"/>
    <w:pPr>
      <w:keepNext/>
      <w:keepLines/>
      <w:numPr>
        <w:ilvl w:val="8"/>
        <w:numId w:val="2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27FE6"/>
    <w:rPr>
      <w:rFonts w:ascii="Souvenir Lt BT" w:eastAsia="Calibri" w:hAnsi="Souvenir Lt BT" w:cs="Times New Roman"/>
      <w:b/>
      <w:i/>
      <w:color w:val="FF0000"/>
      <w:sz w:val="28"/>
      <w:szCs w:val="32"/>
      <w:lang w:val="fr-FR"/>
    </w:rPr>
  </w:style>
  <w:style w:type="character" w:customStyle="1" w:styleId="Heading2Char">
    <w:name w:val="Heading 2 Char"/>
    <w:basedOn w:val="DefaultParagraphFont"/>
    <w:link w:val="Heading2"/>
    <w:uiPriority w:val="9"/>
    <w:rsid w:val="00A27FE6"/>
    <w:rPr>
      <w:rFonts w:ascii="Souvenir Lt BT" w:eastAsia="Calibri" w:hAnsi="Souvenir Lt BT" w:cs="Times New Roman"/>
      <w:b/>
      <w:i/>
      <w:szCs w:val="26"/>
    </w:rPr>
  </w:style>
  <w:style w:type="character" w:customStyle="1" w:styleId="Heading3Char">
    <w:name w:val="Heading 3 Char"/>
    <w:basedOn w:val="DefaultParagraphFont"/>
    <w:link w:val="Heading3"/>
    <w:uiPriority w:val="9"/>
    <w:rsid w:val="00A27FE6"/>
    <w:rPr>
      <w:rFonts w:ascii="Souvenir Lt BT" w:eastAsia="Times New Roman" w:hAnsi="Souvenir Lt BT" w:cs="Times New Roman"/>
      <w:b/>
      <w:i/>
      <w:color w:val="000000"/>
      <w:sz w:val="20"/>
      <w:szCs w:val="24"/>
      <w:lang w:val="fr-FR"/>
    </w:rPr>
  </w:style>
  <w:style w:type="paragraph" w:styleId="FootnoteText">
    <w:name w:val="footnote text"/>
    <w:basedOn w:val="Normal"/>
    <w:link w:val="FootnoteTextChar"/>
    <w:uiPriority w:val="99"/>
    <w:semiHidden/>
    <w:unhideWhenUsed/>
    <w:rsid w:val="00512393"/>
    <w:pPr>
      <w:spacing w:after="0" w:line="240" w:lineRule="auto"/>
    </w:pPr>
    <w:rPr>
      <w:rFonts w:eastAsiaTheme="minorHAnsi"/>
      <w:sz w:val="20"/>
      <w:szCs w:val="20"/>
    </w:rPr>
  </w:style>
  <w:style w:type="character" w:customStyle="1" w:styleId="FootnoteTextChar">
    <w:name w:val="Footnote Text Char"/>
    <w:basedOn w:val="DefaultParagraphFont"/>
    <w:link w:val="FootnoteText"/>
    <w:uiPriority w:val="99"/>
    <w:semiHidden/>
    <w:rsid w:val="00512393"/>
    <w:rPr>
      <w:rFonts w:ascii="Souvenir Lt BT" w:eastAsiaTheme="minorHAnsi" w:hAnsi="Souvenir Lt BT"/>
      <w:sz w:val="20"/>
      <w:szCs w:val="20"/>
    </w:rPr>
  </w:style>
  <w:style w:type="character" w:styleId="FootnoteReference">
    <w:name w:val="footnote reference"/>
    <w:basedOn w:val="DefaultParagraphFont"/>
    <w:uiPriority w:val="99"/>
    <w:semiHidden/>
    <w:unhideWhenUsed/>
    <w:rsid w:val="00512393"/>
    <w:rPr>
      <w:vertAlign w:val="superscript"/>
    </w:rPr>
  </w:style>
  <w:style w:type="paragraph" w:customStyle="1" w:styleId="Paragraph">
    <w:name w:val="Paragraph"/>
    <w:basedOn w:val="Normal"/>
    <w:link w:val="ParagraphCar"/>
    <w:rsid w:val="00D4657C"/>
    <w:pPr>
      <w:suppressAutoHyphens/>
      <w:spacing w:after="60" w:line="240" w:lineRule="auto"/>
    </w:pPr>
    <w:rPr>
      <w:rFonts w:eastAsia="Times New Roman" w:cs="Times New Roman"/>
      <w:sz w:val="20"/>
      <w:szCs w:val="24"/>
    </w:rPr>
  </w:style>
  <w:style w:type="character" w:customStyle="1" w:styleId="ParagraphCar">
    <w:name w:val="Paragraph Car"/>
    <w:basedOn w:val="DefaultParagraphFont"/>
    <w:link w:val="Paragraph"/>
    <w:rsid w:val="00D4657C"/>
    <w:rPr>
      <w:rFonts w:ascii="Souvenir Lt BT" w:eastAsia="Times New Roman" w:hAnsi="Souvenir Lt BT" w:cs="Times New Roman"/>
      <w:sz w:val="20"/>
      <w:szCs w:val="24"/>
    </w:rPr>
  </w:style>
  <w:style w:type="character" w:customStyle="1" w:styleId="Heading4Char">
    <w:name w:val="Heading 4 Char"/>
    <w:basedOn w:val="DefaultParagraphFont"/>
    <w:link w:val="Heading4"/>
    <w:uiPriority w:val="9"/>
    <w:semiHidden/>
    <w:rsid w:val="00A27FE6"/>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A27FE6"/>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A27FE6"/>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A27FE6"/>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A27FE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A27FE6"/>
    <w:rPr>
      <w:rFonts w:asciiTheme="majorHAnsi" w:eastAsiaTheme="majorEastAsia" w:hAnsiTheme="majorHAnsi" w:cstheme="majorBidi"/>
      <w:i/>
      <w:iCs/>
      <w:color w:val="272727" w:themeColor="text1" w:themeTint="D8"/>
      <w:sz w:val="21"/>
      <w:szCs w:val="21"/>
    </w:rPr>
  </w:style>
  <w:style w:type="paragraph" w:styleId="ListParagraph">
    <w:name w:val="List Paragraph"/>
    <w:basedOn w:val="Normal"/>
    <w:uiPriority w:val="34"/>
    <w:qFormat/>
    <w:rsid w:val="00576DE6"/>
    <w:pPr>
      <w:ind w:left="720"/>
      <w:contextualSpacing/>
    </w:pPr>
  </w:style>
  <w:style w:type="table" w:styleId="TableGrid">
    <w:name w:val="Table Grid"/>
    <w:basedOn w:val="TableNormal"/>
    <w:uiPriority w:val="39"/>
    <w:rsid w:val="00A47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10" Type="http://schemas.openxmlformats.org/officeDocument/2006/relationships/image" Target="media/image3.jp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988FC8-8375-47CA-B40C-0FAD88B4B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16</Pages>
  <Words>7473</Words>
  <Characters>42601</Characters>
  <Application>Microsoft Office Word</Application>
  <DocSecurity>0</DocSecurity>
  <Lines>355</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Herve Tardy</dc:creator>
  <cp:lastModifiedBy>Herve Tardy</cp:lastModifiedBy>
  <cp:revision>184</cp:revision>
  <dcterms:created xsi:type="dcterms:W3CDTF">2026-08-09T20:53:00Z</dcterms:created>
  <dcterms:modified xsi:type="dcterms:W3CDTF">2026-08-13T00:50:00Z</dcterms:modified>
</cp:coreProperties>
</file>